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1C2B4A"/>
          <w:sz w:val="40"/>
        </w:rPr>
        <w:t>Arizona LLC Cost Worksheet (2026)</w:t>
      </w:r>
    </w:p>
    <w:p>
      <w:pPr>
        <w:spacing w:after="200"/>
        <w:pBdr>
          <w:bottom w:val="single" w:sz="12" w:space="2" w:color="C9A23A"/>
        </w:pBdr>
      </w:pPr>
      <w:r>
        <w:rPr>
          <w:b/>
          <w:color w:val="1C2B4A"/>
          <w:sz w:val="26"/>
        </w:rPr>
        <w:t>Every Arizona Corporation Commission fee for forming and keeping an Arizona LLC, checked against the statute and ACC sources, with fill-in lines for your own total</w:t>
      </w:r>
    </w:p>
    <w:p>
      <w:pPr>
        <w:spacing w:after="80"/>
      </w:pPr>
      <w:r>
        <w:rPr>
          <w:b w:val="0"/>
          <w:color w:val="111111"/>
          <w:sz w:val="22"/>
        </w:rPr>
        <w:t>Arizona charges $50 by statute to file Articles of Organization, or $85 when you file online with expedited processing, and LLCs file no annual report. Use the fee schedule below, then fill in your own line items to reach a real year-one number. Full guide and sources: clearlegaltips.com/arizona-llc-filing-fee/</w:t>
      </w:r>
    </w:p>
    <w:p>
      <w:pPr>
        <w:spacing w:before="220"/>
      </w:pPr>
      <w:r>
        <w:rPr>
          <w:b/>
          <w:color w:val="1C2B4A"/>
          <w:sz w:val="27"/>
        </w:rPr>
        <w:t>The official fee schedule</w:t>
      </w:r>
    </w:p>
    <w:tbl>
      <w:tblPr>
        <w:tblStyle w:val="TableGrid"/>
        <w:tblW w:type="auto" w:w="0"/>
        <w:tblLook w:firstColumn="1" w:firstRow="1" w:lastColumn="0" w:lastRow="0" w:noHBand="0" w:noVBand="1" w:val="04A0"/>
      </w:tblPr>
      <w:tblGrid>
        <w:gridCol w:w="2880"/>
        <w:gridCol w:w="2880"/>
        <w:gridCol w:w="2880"/>
      </w:tblGrid>
      <w:tr>
        <w:tc>
          <w:tcPr>
            <w:tcW w:type="dxa" w:w="2880"/>
            <w:shd w:val="clear" w:fill="1C2B4A"/>
          </w:tcPr>
          <w:p>
            <w:r>
              <w:rPr>
                <w:b/>
                <w:color w:val="FFFFFF"/>
                <w:sz w:val="20"/>
              </w:rPr>
              <w:t>Item</w:t>
            </w:r>
          </w:p>
        </w:tc>
        <w:tc>
          <w:tcPr>
            <w:tcW w:type="dxa" w:w="2880"/>
            <w:shd w:val="clear" w:fill="1C2B4A"/>
          </w:tcPr>
          <w:p>
            <w:r>
              <w:rPr>
                <w:b/>
                <w:color w:val="FFFFFF"/>
                <w:sz w:val="20"/>
              </w:rPr>
              <w:t>Amount</w:t>
            </w:r>
          </w:p>
        </w:tc>
        <w:tc>
          <w:tcPr>
            <w:tcW w:type="dxa" w:w="2880"/>
            <w:shd w:val="clear" w:fill="1C2B4A"/>
          </w:tcPr>
          <w:p>
            <w:r>
              <w:rPr>
                <w:b/>
                <w:color w:val="FFFFFF"/>
                <w:sz w:val="20"/>
              </w:rPr>
              <w:t>When it applies</w:t>
            </w:r>
          </w:p>
        </w:tc>
      </w:tr>
      <w:tr>
        <w:tc>
          <w:tcPr>
            <w:tcW w:type="dxa" w:w="2880"/>
          </w:tcPr>
          <w:p>
            <w:r>
              <w:rPr>
                <w:b w:val="0"/>
                <w:color w:val="111111"/>
                <w:sz w:val="20"/>
              </w:rPr>
              <w:t>Articles of Organization, regular</w:t>
            </w:r>
          </w:p>
        </w:tc>
        <w:tc>
          <w:tcPr>
            <w:tcW w:type="dxa" w:w="2880"/>
          </w:tcPr>
          <w:p>
            <w:r>
              <w:rPr>
                <w:b w:val="0"/>
                <w:color w:val="111111"/>
                <w:sz w:val="20"/>
              </w:rPr>
              <w:t>$50</w:t>
            </w:r>
          </w:p>
        </w:tc>
        <w:tc>
          <w:tcPr>
            <w:tcW w:type="dxa" w:w="2880"/>
          </w:tcPr>
          <w:p>
            <w:r>
              <w:rPr>
                <w:b w:val="0"/>
                <w:color w:val="111111"/>
                <w:sz w:val="20"/>
              </w:rPr>
              <w:t>Once, at filing (typically 14-16 days)</w:t>
            </w:r>
          </w:p>
        </w:tc>
      </w:tr>
      <w:tr>
        <w:tc>
          <w:tcPr>
            <w:tcW w:type="dxa" w:w="2880"/>
          </w:tcPr>
          <w:p>
            <w:r>
              <w:rPr>
                <w:b w:val="0"/>
                <w:color w:val="111111"/>
                <w:sz w:val="20"/>
              </w:rPr>
              <w:t>Articles of Organization, expedited (the ACC's online price)</w:t>
            </w:r>
          </w:p>
        </w:tc>
        <w:tc>
          <w:tcPr>
            <w:tcW w:type="dxa" w:w="2880"/>
          </w:tcPr>
          <w:p>
            <w:r>
              <w:rPr>
                <w:b w:val="0"/>
                <w:color w:val="111111"/>
                <w:sz w:val="20"/>
              </w:rPr>
              <w:t>$85 ($50 + $35)</w:t>
            </w:r>
          </w:p>
        </w:tc>
        <w:tc>
          <w:tcPr>
            <w:tcW w:type="dxa" w:w="2880"/>
          </w:tcPr>
          <w:p>
            <w:r>
              <w:rPr>
                <w:b w:val="0"/>
                <w:color w:val="111111"/>
                <w:sz w:val="20"/>
              </w:rPr>
              <w:t>Once, at filing (typically 3-5 days)</w:t>
            </w:r>
          </w:p>
        </w:tc>
      </w:tr>
      <w:tr>
        <w:tc>
          <w:tcPr>
            <w:tcW w:type="dxa" w:w="2880"/>
          </w:tcPr>
          <w:p>
            <w:r>
              <w:rPr>
                <w:b w:val="0"/>
                <w:color w:val="111111"/>
                <w:sz w:val="20"/>
              </w:rPr>
              <w:t>Next Day service (optional)</w:t>
            </w:r>
          </w:p>
        </w:tc>
        <w:tc>
          <w:tcPr>
            <w:tcW w:type="dxa" w:w="2880"/>
          </w:tcPr>
          <w:p>
            <w:r>
              <w:rPr>
                <w:b w:val="0"/>
                <w:color w:val="111111"/>
                <w:sz w:val="20"/>
              </w:rPr>
              <w:t>+$100</w:t>
            </w:r>
          </w:p>
        </w:tc>
        <w:tc>
          <w:tcPr>
            <w:tcW w:type="dxa" w:w="2880"/>
          </w:tcPr>
          <w:p>
            <w:r>
              <w:rPr>
                <w:b w:val="0"/>
                <w:color w:val="111111"/>
                <w:sz w:val="20"/>
              </w:rPr>
              <w:t>Received by 5:00pm</w:t>
            </w:r>
          </w:p>
        </w:tc>
      </w:tr>
      <w:tr>
        <w:tc>
          <w:tcPr>
            <w:tcW w:type="dxa" w:w="2880"/>
          </w:tcPr>
          <w:p>
            <w:r>
              <w:rPr>
                <w:b w:val="0"/>
                <w:color w:val="111111"/>
                <w:sz w:val="20"/>
              </w:rPr>
              <w:t>Same Day service (optional)</w:t>
            </w:r>
          </w:p>
        </w:tc>
        <w:tc>
          <w:tcPr>
            <w:tcW w:type="dxa" w:w="2880"/>
          </w:tcPr>
          <w:p>
            <w:r>
              <w:rPr>
                <w:b w:val="0"/>
                <w:color w:val="111111"/>
                <w:sz w:val="20"/>
              </w:rPr>
              <w:t>+$200</w:t>
            </w:r>
          </w:p>
        </w:tc>
        <w:tc>
          <w:tcPr>
            <w:tcW w:type="dxa" w:w="2880"/>
          </w:tcPr>
          <w:p>
            <w:r>
              <w:rPr>
                <w:b w:val="0"/>
                <w:color w:val="111111"/>
                <w:sz w:val="20"/>
              </w:rPr>
              <w:t>Received by 10:00am</w:t>
            </w:r>
          </w:p>
        </w:tc>
      </w:tr>
      <w:tr>
        <w:tc>
          <w:tcPr>
            <w:tcW w:type="dxa" w:w="2880"/>
          </w:tcPr>
          <w:p>
            <w:r>
              <w:rPr>
                <w:b w:val="0"/>
                <w:color w:val="111111"/>
                <w:sz w:val="20"/>
              </w:rPr>
              <w:t>2-hour service (optional)</w:t>
            </w:r>
          </w:p>
        </w:tc>
        <w:tc>
          <w:tcPr>
            <w:tcW w:type="dxa" w:w="2880"/>
          </w:tcPr>
          <w:p>
            <w:r>
              <w:rPr>
                <w:b w:val="0"/>
                <w:color w:val="111111"/>
                <w:sz w:val="20"/>
              </w:rPr>
              <w:t>+$400</w:t>
            </w:r>
          </w:p>
        </w:tc>
        <w:tc>
          <w:tcPr>
            <w:tcW w:type="dxa" w:w="2880"/>
          </w:tcPr>
          <w:p>
            <w:r>
              <w:rPr>
                <w:b w:val="0"/>
                <w:color w:val="111111"/>
                <w:sz w:val="20"/>
              </w:rPr>
              <w:t>Received by 3:00pm</w:t>
            </w:r>
          </w:p>
        </w:tc>
      </w:tr>
      <w:tr>
        <w:tc>
          <w:tcPr>
            <w:tcW w:type="dxa" w:w="2880"/>
          </w:tcPr>
          <w:p>
            <w:r>
              <w:rPr>
                <w:b w:val="0"/>
                <w:color w:val="111111"/>
                <w:sz w:val="20"/>
              </w:rPr>
              <w:t>Name reservation (optional)</w:t>
            </w:r>
          </w:p>
        </w:tc>
        <w:tc>
          <w:tcPr>
            <w:tcW w:type="dxa" w:w="2880"/>
          </w:tcPr>
          <w:p>
            <w:r>
              <w:rPr>
                <w:b w:val="0"/>
                <w:color w:val="111111"/>
                <w:sz w:val="20"/>
              </w:rPr>
              <w:t>$10 ($45 expedited)</w:t>
            </w:r>
          </w:p>
        </w:tc>
        <w:tc>
          <w:tcPr>
            <w:tcW w:type="dxa" w:w="2880"/>
          </w:tcPr>
          <w:p>
            <w:r>
              <w:rPr>
                <w:b w:val="0"/>
                <w:color w:val="111111"/>
                <w:sz w:val="20"/>
              </w:rPr>
              <w:t>Holds the name 120 days</w:t>
            </w:r>
          </w:p>
        </w:tc>
      </w:tr>
      <w:tr>
        <w:tc>
          <w:tcPr>
            <w:tcW w:type="dxa" w:w="2880"/>
          </w:tcPr>
          <w:p>
            <w:r>
              <w:rPr>
                <w:b w:val="0"/>
                <w:color w:val="111111"/>
                <w:sz w:val="20"/>
              </w:rPr>
              <w:t>Publication</w:t>
            </w:r>
          </w:p>
        </w:tc>
        <w:tc>
          <w:tcPr>
            <w:tcW w:type="dxa" w:w="2880"/>
          </w:tcPr>
          <w:p>
            <w:r>
              <w:rPr>
                <w:b w:val="0"/>
                <w:color w:val="111111"/>
                <w:sz w:val="20"/>
              </w:rPr>
              <w:t>$0 in Maricopa or Pima; newspaper rates elsewhere</w:t>
            </w:r>
          </w:p>
        </w:tc>
        <w:tc>
          <w:tcPr>
            <w:tcW w:type="dxa" w:w="2880"/>
          </w:tcPr>
          <w:p>
            <w:r>
              <w:rPr>
                <w:b w:val="0"/>
                <w:color w:val="111111"/>
                <w:sz w:val="20"/>
              </w:rPr>
              <w:t>Within 60 days after approval</w:t>
            </w:r>
          </w:p>
        </w:tc>
      </w:tr>
      <w:tr>
        <w:tc>
          <w:tcPr>
            <w:tcW w:type="dxa" w:w="2880"/>
          </w:tcPr>
          <w:p>
            <w:r>
              <w:rPr>
                <w:b w:val="0"/>
                <w:color w:val="111111"/>
                <w:sz w:val="20"/>
              </w:rPr>
              <w:t>Annual report</w:t>
            </w:r>
          </w:p>
        </w:tc>
        <w:tc>
          <w:tcPr>
            <w:tcW w:type="dxa" w:w="2880"/>
          </w:tcPr>
          <w:p>
            <w:r>
              <w:rPr>
                <w:b w:val="0"/>
                <w:color w:val="111111"/>
                <w:sz w:val="20"/>
              </w:rPr>
              <w:t>$0 (LLCs file none)</w:t>
            </w:r>
          </w:p>
        </w:tc>
        <w:tc>
          <w:tcPr>
            <w:tcW w:type="dxa" w:w="2880"/>
          </w:tcPr>
          <w:p>
            <w:r>
              <w:rPr>
                <w:b w:val="0"/>
                <w:color w:val="111111"/>
                <w:sz w:val="20"/>
              </w:rPr>
              <w:t>Never</w:t>
            </w:r>
          </w:p>
        </w:tc>
      </w:tr>
      <w:tr>
        <w:tc>
          <w:tcPr>
            <w:tcW w:type="dxa" w:w="2880"/>
          </w:tcPr>
          <w:p>
            <w:r>
              <w:rPr>
                <w:b w:val="0"/>
                <w:color w:val="111111"/>
                <w:sz w:val="20"/>
              </w:rPr>
              <w:t>Certificate of Good Standing (optional)</w:t>
            </w:r>
          </w:p>
        </w:tc>
        <w:tc>
          <w:tcPr>
            <w:tcW w:type="dxa" w:w="2880"/>
          </w:tcPr>
          <w:p>
            <w:r>
              <w:rPr>
                <w:b w:val="0"/>
                <w:color w:val="111111"/>
                <w:sz w:val="20"/>
              </w:rPr>
              <w:t>$10 regular / $45 instant online</w:t>
            </w:r>
          </w:p>
        </w:tc>
        <w:tc>
          <w:tcPr>
            <w:tcW w:type="dxa" w:w="2880"/>
          </w:tcPr>
          <w:p>
            <w:r>
              <w:rPr>
                <w:b w:val="0"/>
                <w:color w:val="111111"/>
                <w:sz w:val="20"/>
              </w:rPr>
              <w:t>When a bank or another state asks</w:t>
            </w:r>
          </w:p>
        </w:tc>
      </w:tr>
      <w:tr>
        <w:tc>
          <w:tcPr>
            <w:tcW w:type="dxa" w:w="2880"/>
          </w:tcPr>
          <w:p>
            <w:r>
              <w:rPr>
                <w:b w:val="0"/>
                <w:color w:val="111111"/>
                <w:sz w:val="20"/>
              </w:rPr>
              <w:t>Statement of change</w:t>
            </w:r>
          </w:p>
        </w:tc>
        <w:tc>
          <w:tcPr>
            <w:tcW w:type="dxa" w:w="2880"/>
          </w:tcPr>
          <w:p>
            <w:r>
              <w:rPr>
                <w:b w:val="0"/>
                <w:color w:val="111111"/>
                <w:sz w:val="20"/>
              </w:rPr>
              <w:t>$5</w:t>
            </w:r>
          </w:p>
        </w:tc>
        <w:tc>
          <w:tcPr>
            <w:tcW w:type="dxa" w:w="2880"/>
          </w:tcPr>
          <w:p>
            <w:r>
              <w:rPr>
                <w:b w:val="0"/>
                <w:color w:val="111111"/>
                <w:sz w:val="20"/>
              </w:rPr>
              <w:t>Within 30 days of an agent or address change</w:t>
            </w:r>
          </w:p>
        </w:tc>
      </w:tr>
      <w:tr>
        <w:tc>
          <w:tcPr>
            <w:tcW w:type="dxa" w:w="2880"/>
          </w:tcPr>
          <w:p>
            <w:r>
              <w:rPr>
                <w:b w:val="0"/>
                <w:color w:val="111111"/>
                <w:sz w:val="20"/>
              </w:rPr>
              <w:t>Amendment to the Articles</w:t>
            </w:r>
          </w:p>
        </w:tc>
        <w:tc>
          <w:tcPr>
            <w:tcW w:type="dxa" w:w="2880"/>
          </w:tcPr>
          <w:p>
            <w:r>
              <w:rPr>
                <w:b w:val="0"/>
                <w:color w:val="111111"/>
                <w:sz w:val="20"/>
              </w:rPr>
              <w:t>$25</w:t>
            </w:r>
          </w:p>
        </w:tc>
        <w:tc>
          <w:tcPr>
            <w:tcW w:type="dxa" w:w="2880"/>
          </w:tcPr>
          <w:p>
            <w:r>
              <w:rPr>
                <w:b w:val="0"/>
                <w:color w:val="111111"/>
                <w:sz w:val="20"/>
              </w:rPr>
              <w:t>When the Articles need updating</w:t>
            </w:r>
          </w:p>
        </w:tc>
      </w:tr>
      <w:tr>
        <w:tc>
          <w:tcPr>
            <w:tcW w:type="dxa" w:w="2880"/>
          </w:tcPr>
          <w:p>
            <w:r>
              <w:rPr>
                <w:b w:val="0"/>
                <w:color w:val="111111"/>
                <w:sz w:val="20"/>
              </w:rPr>
              <w:t>Reinstatement</w:t>
            </w:r>
          </w:p>
        </w:tc>
        <w:tc>
          <w:tcPr>
            <w:tcW w:type="dxa" w:w="2880"/>
          </w:tcPr>
          <w:p>
            <w:r>
              <w:rPr>
                <w:b w:val="0"/>
                <w:color w:val="111111"/>
                <w:sz w:val="20"/>
              </w:rPr>
              <w:t>$100 plus past-due items</w:t>
            </w:r>
          </w:p>
        </w:tc>
        <w:tc>
          <w:tcPr>
            <w:tcW w:type="dxa" w:w="2880"/>
          </w:tcPr>
          <w:p>
            <w:r>
              <w:rPr>
                <w:b w:val="0"/>
                <w:color w:val="111111"/>
                <w:sz w:val="20"/>
              </w:rPr>
              <w:t>Only within 6 years of dissolution</w:t>
            </w:r>
          </w:p>
        </w:tc>
      </w:tr>
    </w:tbl>
    <w:p/>
    <w:p>
      <w:pPr>
        <w:spacing w:before="220"/>
      </w:pPr>
      <w:r>
        <w:rPr>
          <w:b/>
          <w:color w:val="1C2B4A"/>
          <w:sz w:val="27"/>
        </w:rPr>
        <w:t>Your year-one line items</w:t>
      </w:r>
    </w:p>
    <w:p>
      <w:r>
        <w:rPr>
          <w:b/>
          <w:color w:val="111111"/>
          <w:sz w:val="22"/>
        </w:rPr>
        <w:t xml:space="preserve">Articles of Organization ($50 regular or $85 expedited/online):  </w:t>
      </w:r>
      <w:r>
        <w:rPr>
          <w:b w:val="0"/>
          <w:color w:val="111111"/>
          <w:sz w:val="22"/>
        </w:rPr>
        <w:t>________________________________________</w:t>
      </w:r>
    </w:p>
    <w:p>
      <w:r>
        <w:rPr>
          <w:b/>
          <w:color w:val="111111"/>
          <w:sz w:val="22"/>
        </w:rPr>
        <w:t xml:space="preserve">Rush tier, if any ($0, $100, $200, or $400):  </w:t>
      </w:r>
      <w:r>
        <w:rPr>
          <w:b w:val="0"/>
          <w:color w:val="111111"/>
          <w:sz w:val="22"/>
        </w:rPr>
        <w:t>________________________________________</w:t>
      </w:r>
    </w:p>
    <w:p>
      <w:r>
        <w:rPr>
          <w:b/>
          <w:color w:val="111111"/>
          <w:sz w:val="22"/>
        </w:rPr>
        <w:t xml:space="preserve">Name reservation ($0, $10, or $45):  </w:t>
      </w:r>
      <w:r>
        <w:rPr>
          <w:b w:val="0"/>
          <w:color w:val="111111"/>
          <w:sz w:val="22"/>
        </w:rPr>
        <w:t>________________________________________</w:t>
      </w:r>
    </w:p>
    <w:p>
      <w:r>
        <w:rPr>
          <w:b/>
          <w:color w:val="111111"/>
          <w:sz w:val="22"/>
        </w:rPr>
        <w:t xml:space="preserve">County of your statutory agent's street address (Maricopa/Pima = free ACC posting; other = newspaper):  </w:t>
      </w:r>
      <w:r>
        <w:rPr>
          <w:b w:val="0"/>
          <w:color w:val="111111"/>
          <w:sz w:val="22"/>
        </w:rPr>
        <w:t>________________________________________</w:t>
      </w:r>
    </w:p>
    <w:p>
      <w:r>
        <w:rPr>
          <w:b/>
          <w:color w:val="111111"/>
          <w:sz w:val="22"/>
        </w:rPr>
        <w:t xml:space="preserve">Newspaper publication quote, if required, for three consecutive publications ($):  </w:t>
      </w:r>
      <w:r>
        <w:rPr>
          <w:b w:val="0"/>
          <w:color w:val="111111"/>
          <w:sz w:val="22"/>
        </w:rPr>
        <w:t>________________________________________</w:t>
      </w:r>
    </w:p>
    <w:p>
      <w:r>
        <w:rPr>
          <w:b/>
          <w:color w:val="111111"/>
          <w:sz w:val="22"/>
        </w:rPr>
        <w:t xml:space="preserve">Commercial statutory-agent service, if you hire one; the provider sets the price ($):  </w:t>
      </w:r>
      <w:r>
        <w:rPr>
          <w:b w:val="0"/>
          <w:color w:val="111111"/>
          <w:sz w:val="22"/>
        </w:rPr>
        <w:t>________________________________________</w:t>
      </w:r>
    </w:p>
    <w:p>
      <w:r>
        <w:rPr>
          <w:b/>
          <w:color w:val="111111"/>
          <w:sz w:val="22"/>
        </w:rPr>
        <w:t xml:space="preserve">Certificate of Good Standing ($0, $10, or $45):  </w:t>
      </w:r>
      <w:r>
        <w:rPr>
          <w:b w:val="0"/>
          <w:color w:val="111111"/>
          <w:sz w:val="22"/>
        </w:rPr>
        <w:t>________________________________________</w:t>
      </w:r>
    </w:p>
    <w:p>
      <w:r>
        <w:rPr>
          <w:b/>
          <w:color w:val="111111"/>
          <w:sz w:val="22"/>
        </w:rPr>
        <w:t xml:space="preserve">City or county licenses, TPT license, or trade-name filings for your business ($):  </w:t>
      </w:r>
      <w:r>
        <w:rPr>
          <w:b w:val="0"/>
          <w:color w:val="111111"/>
          <w:sz w:val="22"/>
        </w:rPr>
        <w:t>________________________________________</w:t>
      </w:r>
    </w:p>
    <w:p>
      <w:r>
        <w:rPr>
          <w:b/>
          <w:color w:val="111111"/>
          <w:sz w:val="22"/>
        </w:rPr>
        <w:t xml:space="preserve">Your year-one total ($):  </w:t>
      </w:r>
      <w:r>
        <w:rPr>
          <w:b w:val="0"/>
          <w:color w:val="111111"/>
          <w:sz w:val="22"/>
        </w:rPr>
        <w:t>________________________________________</w:t>
      </w:r>
    </w:p>
    <w:p/>
    <w:p>
      <w:pPr>
        <w:spacing w:before="220"/>
      </w:pPr>
      <w:r>
        <w:rPr>
          <w:b/>
          <w:color w:val="1C2B4A"/>
          <w:sz w:val="27"/>
        </w:rPr>
        <w:t>The recurring calendar (year two onward)</w:t>
      </w:r>
    </w:p>
    <w:p>
      <w:pPr>
        <w:ind w:left="360"/>
      </w:pPr>
      <w:r>
        <w:rPr>
          <w:b w:val="0"/>
          <w:color w:val="111111"/>
          <w:sz w:val="22"/>
        </w:rPr>
        <w:t>•  Every year: $0 to the Arizona Corporation Commission. LLCs file no annual report.</w:t>
      </w:r>
    </w:p>
    <w:p>
      <w:pPr>
        <w:ind w:left="360"/>
      </w:pPr>
      <w:r>
        <w:rPr>
          <w:b w:val="0"/>
          <w:color w:val="111111"/>
          <w:sz w:val="22"/>
        </w:rPr>
        <w:t>•  At all times: keep a statutory agent on file. Going 60 consecutive days without one is a ground for administrative dissolution under A.R.S. §29-3708(A).</w:t>
      </w:r>
    </w:p>
    <w:p>
      <w:pPr>
        <w:ind w:left="360"/>
      </w:pPr>
      <w:r>
        <w:rPr>
          <w:b w:val="0"/>
          <w:color w:val="111111"/>
          <w:sz w:val="22"/>
        </w:rPr>
        <w:t>•  Any fee the ACC bills: pay it within 60 days of its due date, since late payment is also a dissolution ground.</w:t>
      </w:r>
    </w:p>
    <w:p>
      <w:pPr>
        <w:ind w:left="360"/>
      </w:pPr>
      <w:r>
        <w:rPr>
          <w:b w:val="0"/>
          <w:color w:val="111111"/>
          <w:sz w:val="22"/>
        </w:rPr>
        <w:t>•  Any change of statutory agent or principal address: file a statement of change ($5) within 30 days.</w:t>
      </w:r>
    </w:p>
    <w:p>
      <w:pPr>
        <w:ind w:left="360"/>
      </w:pPr>
      <w:r>
        <w:rPr>
          <w:b w:val="0"/>
          <w:color w:val="111111"/>
          <w:sz w:val="22"/>
        </w:rPr>
        <w:t>•  If dissolved: reinstatement costs $100 plus past-due items and is available only within 6 years of dissolution.</w:t>
      </w:r>
    </w:p>
    <w:p>
      <w:r>
        <w:rPr>
          <w:b/>
          <w:color w:val="111111"/>
          <w:sz w:val="22"/>
        </w:rPr>
        <w:t xml:space="preserve">Your statutory agent's name and renewal date, if a paid service:  </w:t>
      </w:r>
      <w:r>
        <w:rPr>
          <w:b w:val="0"/>
          <w:color w:val="111111"/>
          <w:sz w:val="22"/>
        </w:rPr>
        <w:t>________________________________________</w:t>
      </w:r>
    </w:p>
    <w:p>
      <w:r>
        <w:rPr>
          <w:b/>
          <w:color w:val="111111"/>
          <w:sz w:val="22"/>
        </w:rPr>
        <w:t xml:space="preserve">Yearly reminder to confirm the agent is still active, set for (date):  </w:t>
      </w:r>
      <w:r>
        <w:rPr>
          <w:b w:val="0"/>
          <w:color w:val="111111"/>
          <w:sz w:val="22"/>
        </w:rPr>
        <w:t>________________________________________</w:t>
      </w:r>
    </w:p>
    <w:p/>
    <w:tbl>
      <w:tblPr>
        <w:tblStyle w:val="TableGrid"/>
        <w:tblW w:type="auto" w:w="0"/>
        <w:tblLook w:firstColumn="1" w:firstRow="1" w:lastColumn="0" w:lastRow="0" w:noHBand="0" w:noVBand="1" w:val="04A0"/>
      </w:tblPr>
      <w:tblGrid>
        <w:gridCol w:w="8640"/>
      </w:tblGrid>
      <w:tr>
        <w:tc>
          <w:tcPr>
            <w:tcW w:type="dxa" w:w="8640"/>
            <w:shd w:val="clear" w:fill="F2F5FA"/>
          </w:tcPr>
          <w:p>
            <w:r>
              <w:rPr>
                <w:b/>
                <w:color w:val="1C2B4A"/>
                <w:sz w:val="22"/>
              </w:rPr>
              <w:t>INSTRUCTIONS FOR USE</w:t>
            </w:r>
          </w:p>
          <w:p>
            <w:r>
              <w:rPr>
                <w:b w:val="0"/>
                <w:color w:val="111111"/>
                <w:sz w:val="20"/>
              </w:rPr>
              <w:t>Every figure was checked against the Arizona Revised Statutes (Title 29), the Arizona Corporation Commission fee schedule and FAQ, and the IRS in September 2026. Fees and procedures change, so confirm them with the ACC before you pay. This worksheet is general information, not legal or tax advice; for advice on your situation, consult a licensed Arizona attorney or CPA. The maintained guide lives at clearlegaltips.com/arizona-llc-filing-fee/</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6" w:color="D5D7DC"/>
      </w:pBdr>
    </w:pPr>
    <w:r/>
    <w:r>
      <w:rPr>
        <w:b w:val="0"/>
        <w:color w:val="111111"/>
        <w:sz w:val="16"/>
      </w:rPr>
      <w:t xml:space="preserve">clearlegaltips.com  —  free legal template   ·   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8" w:space="1" w:color="1C2B4A"/>
      </w:pBd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