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Global HR / EOR Comparison Scorecard</w:t>
      </w:r>
    </w:p>
    <w:p>
      <w:r>
        <w:rPr>
          <w:b/>
          <w:color w:val="111111"/>
          <w:sz w:val="22"/>
        </w:rPr>
        <w:t>Fillable Decision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Compare Employer-of-Record (EOR) / global HR platforms for hiring abroad. Fill the columns with quotes and notes from each vendor, then pick a winner per row.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A. What You Need</w:t>
      </w:r>
    </w:p>
    <w:p>
      <w:r>
        <w:rPr>
          <w:b/>
          <w:color w:val="111111"/>
          <w:sz w:val="22"/>
        </w:rPr>
        <w:t xml:space="preserve">Countries to hire in: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# of hires: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Target start date: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B. Side-by-Side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1C2B4A"/>
          </w:tcPr>
          <w:p>
            <w:r>
              <w:rPr>
                <w:b/>
                <w:color w:val="FFFFFF"/>
                <w:sz w:val="20"/>
              </w:rPr>
              <w:t>Criterion</w:t>
            </w:r>
          </w:p>
        </w:tc>
        <w:tc>
          <w:tcPr>
            <w:tcW w:type="dxa" w:w="2160"/>
            <w:shd w:val="clear" w:fill="1C2B4A"/>
          </w:tcPr>
          <w:p>
            <w:r>
              <w:rPr>
                <w:b/>
                <w:color w:val="FFFFFF"/>
                <w:sz w:val="20"/>
              </w:rPr>
              <w:t>Deel</w:t>
            </w:r>
          </w:p>
        </w:tc>
        <w:tc>
          <w:tcPr>
            <w:tcW w:type="dxa" w:w="2160"/>
            <w:shd w:val="clear" w:fill="1C2B4A"/>
          </w:tcPr>
          <w:p>
            <w:r>
              <w:rPr>
                <w:b/>
                <w:color w:val="FFFFFF"/>
                <w:sz w:val="20"/>
              </w:rPr>
              <w:t>Rippling</w:t>
            </w:r>
          </w:p>
        </w:tc>
        <w:tc>
          <w:tcPr>
            <w:tcW w:type="dxa" w:w="2160"/>
            <w:shd w:val="clear" w:fill="1C2B4A"/>
          </w:tcPr>
          <w:p>
            <w:r>
              <w:rPr>
                <w:b/>
                <w:color w:val="FFFFFF"/>
                <w:sz w:val="20"/>
              </w:rPr>
              <w:t>Remote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Price per employee/mo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Countries covered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Payroll &amp; contractors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Benefits administration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Compliance / IP protection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Support quality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Best for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</w:tbl>
    <w:p>
      <w:pPr>
        <w:spacing w:before="220"/>
      </w:pPr>
      <w:r>
        <w:rPr>
          <w:b/>
          <w:color w:val="1C2B4A"/>
          <w:sz w:val="27"/>
        </w:rPr>
        <w:t>C. Your Decision</w:t>
      </w:r>
    </w:p>
    <w:p>
      <w:r>
        <w:rPr>
          <w:b/>
          <w:color w:val="111111"/>
          <w:sz w:val="22"/>
        </w:rPr>
        <w:t xml:space="preserve">Winner and why: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