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Security Deposit Interest by State (2026)</w:t>
      </w:r>
    </w:p>
    <w:p>
      <w:pPr>
        <w:spacing w:after="200"/>
      </w:pPr>
      <w:r>
        <w:rPr>
          <w:b/>
          <w:color w:val="C9A23A"/>
          <w:sz w:val="28"/>
        </w:rPr>
        <w:t>Who owes interest on tenant deposits, at what rate, under which statute, verified July 2026</w:t>
      </w:r>
    </w:p>
    <w:p>
      <w:r>
        <w:rPr>
          <w:b w:val="0"/>
          <w:color w:val="222222"/>
          <w:sz w:val="22"/>
        </w:rPr>
        <w:t>Six states require landlords to pay interest on residential security deposits as a rule; nine more jurisdictions attach conditions such as building size, tenancy length, or a dollar threshold; 36 states require nothing statewide, though Chicago, Los Angeles, and San Francisco impose interest by city ordinance. Use the tables below to find your row, then read the conditions before the rate, because the thresholds are where the rule actually lives. Full guide, city-ordinance detail, and official sources: clearlegaltips.com/security-deposit-interest-by-state/</w:t>
      </w:r>
    </w:p>
    <w:p>
      <w:r>
        <w:rPr>
          <w:b/>
          <w:color w:val="1C2B4A"/>
          <w:sz w:val="27"/>
        </w:rPr>
        <w:t>STATE-BY-STATE DEPOSIT INTEREST TABLE (2026)</w:t>
      </w:r>
    </w:p>
    <w:p>
      <w:r>
        <w:rPr>
          <w:b/>
          <w:color w:val="222222"/>
          <w:sz w:val="22"/>
        </w:rPr>
        <w:t>STATES WHERE INTEREST IS AUTOMATIC (6)</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1C2B4A"/>
          </w:tcPr>
          <w:p>
            <w:r>
              <w:rPr>
                <w:b/>
                <w:color w:val="FFFFFF"/>
                <w:sz w:val="20"/>
              </w:rPr>
              <w:t>State</w:t>
            </w:r>
          </w:p>
        </w:tc>
        <w:tc>
          <w:tcPr>
            <w:tcW w:type="dxa" w:w="2160"/>
            <w:shd w:val="clear" w:fill="1C2B4A"/>
          </w:tcPr>
          <w:p>
            <w:r>
              <w:rPr>
                <w:b/>
                <w:color w:val="FFFFFF"/>
                <w:sz w:val="20"/>
              </w:rPr>
              <w:t>Rate mechanism</w:t>
            </w:r>
          </w:p>
        </w:tc>
        <w:tc>
          <w:tcPr>
            <w:tcW w:type="dxa" w:w="2160"/>
            <w:shd w:val="clear" w:fill="1C2B4A"/>
          </w:tcPr>
          <w:p>
            <w:r>
              <w:rPr>
                <w:b/>
                <w:color w:val="FFFFFF"/>
                <w:sz w:val="20"/>
              </w:rPr>
              <w:t>Conditions</w:t>
            </w:r>
          </w:p>
        </w:tc>
        <w:tc>
          <w:tcPr>
            <w:tcW w:type="dxa" w:w="2160"/>
            <w:shd w:val="clear" w:fill="1C2B4A"/>
          </w:tcPr>
          <w:p>
            <w:r>
              <w:rPr>
                <w:b/>
                <w:color w:val="FFFFFF"/>
                <w:sz w:val="20"/>
              </w:rPr>
              <w:t>Statute</w:t>
            </w:r>
          </w:p>
        </w:tc>
      </w:tr>
      <w:tr>
        <w:tc>
          <w:tcPr>
            <w:tcW w:type="dxa" w:w="2160"/>
          </w:tcPr>
          <w:p>
            <w:r>
              <w:rPr>
                <w:b w:val="0"/>
                <w:color w:val="222222"/>
                <w:sz w:val="20"/>
              </w:rPr>
              <w:t>Connecticut</w:t>
            </w:r>
          </w:p>
        </w:tc>
        <w:tc>
          <w:tcPr>
            <w:tcW w:type="dxa" w:w="2160"/>
          </w:tcPr>
          <w:p>
            <w:r>
              <w:rPr>
                <w:b w:val="0"/>
                <w:color w:val="222222"/>
                <w:sz w:val="20"/>
              </w:rPr>
              <w:t>Annual deposit index rate</w:t>
            </w:r>
          </w:p>
        </w:tc>
        <w:tc>
          <w:tcPr>
            <w:tcW w:type="dxa" w:w="2160"/>
          </w:tcPr>
          <w:p>
            <w:r>
              <w:rPr>
                <w:b w:val="0"/>
                <w:color w:val="222222"/>
                <w:sz w:val="20"/>
              </w:rPr>
              <w:t>Paid or credited each tenancy anniversary</w:t>
            </w:r>
          </w:p>
        </w:tc>
        <w:tc>
          <w:tcPr>
            <w:tcW w:type="dxa" w:w="2160"/>
          </w:tcPr>
          <w:p>
            <w:r>
              <w:rPr>
                <w:b w:val="0"/>
                <w:color w:val="222222"/>
                <w:sz w:val="20"/>
              </w:rPr>
              <w:t>C.G.S. 47a-21</w:t>
            </w:r>
          </w:p>
        </w:tc>
      </w:tr>
      <w:tr>
        <w:tc>
          <w:tcPr>
            <w:tcW w:type="dxa" w:w="2160"/>
          </w:tcPr>
          <w:p>
            <w:r>
              <w:rPr>
                <w:b w:val="0"/>
                <w:color w:val="222222"/>
                <w:sz w:val="20"/>
              </w:rPr>
              <w:t>Maryland</w:t>
            </w:r>
          </w:p>
        </w:tc>
        <w:tc>
          <w:tcPr>
            <w:tcW w:type="dxa" w:w="2160"/>
          </w:tcPr>
          <w:p>
            <w:r>
              <w:rPr>
                <w:b w:val="0"/>
                <w:color w:val="222222"/>
                <w:sz w:val="20"/>
              </w:rPr>
              <w:t>Greater of 1-year Treasury yield (Jan 1) or 1.5%/yr</w:t>
            </w:r>
          </w:p>
        </w:tc>
        <w:tc>
          <w:tcPr>
            <w:tcW w:type="dxa" w:w="2160"/>
          </w:tcPr>
          <w:p>
            <w:r>
              <w:rPr>
                <w:b w:val="0"/>
                <w:color w:val="222222"/>
                <w:sz w:val="20"/>
              </w:rPr>
              <w:t>Deposits of $50+, held 6+ months</w:t>
            </w:r>
          </w:p>
        </w:tc>
        <w:tc>
          <w:tcPr>
            <w:tcW w:type="dxa" w:w="2160"/>
          </w:tcPr>
          <w:p>
            <w:r>
              <w:rPr>
                <w:b w:val="0"/>
                <w:color w:val="222222"/>
                <w:sz w:val="20"/>
              </w:rPr>
              <w:t>Real Prop. 8-203</w:t>
            </w:r>
          </w:p>
        </w:tc>
      </w:tr>
      <w:tr>
        <w:tc>
          <w:tcPr>
            <w:tcW w:type="dxa" w:w="2160"/>
          </w:tcPr>
          <w:p>
            <w:r>
              <w:rPr>
                <w:b w:val="0"/>
                <w:color w:val="222222"/>
                <w:sz w:val="20"/>
              </w:rPr>
              <w:t>Massachusetts</w:t>
            </w:r>
          </w:p>
        </w:tc>
        <w:tc>
          <w:tcPr>
            <w:tcW w:type="dxa" w:w="2160"/>
          </w:tcPr>
          <w:p>
            <w:r>
              <w:rPr>
                <w:b w:val="0"/>
                <w:color w:val="222222"/>
                <w:sz w:val="20"/>
              </w:rPr>
              <w:t>5%/yr, or the bank's actual rate if lower</w:t>
            </w:r>
          </w:p>
        </w:tc>
        <w:tc>
          <w:tcPr>
            <w:tcW w:type="dxa" w:w="2160"/>
          </w:tcPr>
          <w:p>
            <w:r>
              <w:rPr>
                <w:b w:val="0"/>
                <w:color w:val="222222"/>
                <w:sz w:val="20"/>
              </w:rPr>
              <w:t>Held one year or longer; paid at end of each tenancy year</w:t>
            </w:r>
          </w:p>
        </w:tc>
        <w:tc>
          <w:tcPr>
            <w:tcW w:type="dxa" w:w="2160"/>
          </w:tcPr>
          <w:p>
            <w:r>
              <w:rPr>
                <w:b w:val="0"/>
                <w:color w:val="222222"/>
                <w:sz w:val="20"/>
              </w:rPr>
              <w:t>M.G.L. c. 186, 15B</w:t>
            </w:r>
          </w:p>
        </w:tc>
      </w:tr>
      <w:tr>
        <w:tc>
          <w:tcPr>
            <w:tcW w:type="dxa" w:w="2160"/>
          </w:tcPr>
          <w:p>
            <w:r>
              <w:rPr>
                <w:b w:val="0"/>
                <w:color w:val="222222"/>
                <w:sz w:val="20"/>
              </w:rPr>
              <w:t>Minnesota</w:t>
            </w:r>
          </w:p>
        </w:tc>
        <w:tc>
          <w:tcPr>
            <w:tcW w:type="dxa" w:w="2160"/>
          </w:tcPr>
          <w:p>
            <w:r>
              <w:rPr>
                <w:b w:val="0"/>
                <w:color w:val="222222"/>
                <w:sz w:val="20"/>
              </w:rPr>
              <w:t>1% simple per year</w:t>
            </w:r>
          </w:p>
        </w:tc>
        <w:tc>
          <w:tcPr>
            <w:tcW w:type="dxa" w:w="2160"/>
          </w:tcPr>
          <w:p>
            <w:r>
              <w:rPr>
                <w:b w:val="0"/>
                <w:color w:val="222222"/>
                <w:sz w:val="20"/>
              </w:rPr>
              <w:t>All deposits; amounts under $1 excluded</w:t>
            </w:r>
          </w:p>
        </w:tc>
        <w:tc>
          <w:tcPr>
            <w:tcW w:type="dxa" w:w="2160"/>
          </w:tcPr>
          <w:p>
            <w:r>
              <w:rPr>
                <w:b w:val="0"/>
                <w:color w:val="222222"/>
                <w:sz w:val="20"/>
              </w:rPr>
              <w:t>Minn. Stat. 504B.178</w:t>
            </w:r>
          </w:p>
        </w:tc>
      </w:tr>
      <w:tr>
        <w:tc>
          <w:tcPr>
            <w:tcW w:type="dxa" w:w="2160"/>
          </w:tcPr>
          <w:p>
            <w:r>
              <w:rPr>
                <w:b w:val="0"/>
                <w:color w:val="222222"/>
                <w:sz w:val="20"/>
              </w:rPr>
              <w:t>New Hampshire</w:t>
            </w:r>
          </w:p>
        </w:tc>
        <w:tc>
          <w:tcPr>
            <w:tcW w:type="dxa" w:w="2160"/>
          </w:tcPr>
          <w:p>
            <w:r>
              <w:rPr>
                <w:b w:val="0"/>
                <w:color w:val="222222"/>
                <w:sz w:val="20"/>
              </w:rPr>
              <w:t>NH bank's regular-savings rate</w:t>
            </w:r>
          </w:p>
        </w:tc>
        <w:tc>
          <w:tcPr>
            <w:tcW w:type="dxa" w:w="2160"/>
          </w:tcPr>
          <w:p>
            <w:r>
              <w:rPr>
                <w:b w:val="0"/>
                <w:color w:val="222222"/>
                <w:sz w:val="20"/>
              </w:rPr>
              <w:t>Held one year or longer</w:t>
            </w:r>
          </w:p>
        </w:tc>
        <w:tc>
          <w:tcPr>
            <w:tcW w:type="dxa" w:w="2160"/>
          </w:tcPr>
          <w:p>
            <w:r>
              <w:rPr>
                <w:b w:val="0"/>
                <w:color w:val="222222"/>
                <w:sz w:val="20"/>
              </w:rPr>
              <w:t>RSA 540-A:6</w:t>
            </w:r>
          </w:p>
        </w:tc>
      </w:tr>
      <w:tr>
        <w:tc>
          <w:tcPr>
            <w:tcW w:type="dxa" w:w="2160"/>
          </w:tcPr>
          <w:p>
            <w:r>
              <w:rPr>
                <w:b w:val="0"/>
                <w:color w:val="222222"/>
                <w:sz w:val="20"/>
              </w:rPr>
              <w:t>New Jersey</w:t>
            </w:r>
          </w:p>
        </w:tc>
        <w:tc>
          <w:tcPr>
            <w:tcW w:type="dxa" w:w="2160"/>
          </w:tcPr>
          <w:p>
            <w:r>
              <w:rPr>
                <w:b w:val="0"/>
                <w:color w:val="222222"/>
                <w:sz w:val="20"/>
              </w:rPr>
              <w:t>Earnings of the required fund or account, all to tenant</w:t>
            </w:r>
          </w:p>
        </w:tc>
        <w:tc>
          <w:tcPr>
            <w:tcW w:type="dxa" w:w="2160"/>
          </w:tcPr>
          <w:p>
            <w:r>
              <w:rPr>
                <w:b w:val="0"/>
                <w:color w:val="222222"/>
                <w:sz w:val="20"/>
              </w:rPr>
              <w:t>Annual accounting; paid in cash or credited to rent</w:t>
            </w:r>
          </w:p>
        </w:tc>
        <w:tc>
          <w:tcPr>
            <w:tcW w:type="dxa" w:w="2160"/>
          </w:tcPr>
          <w:p>
            <w:r>
              <w:rPr>
                <w:b w:val="0"/>
                <w:color w:val="222222"/>
                <w:sz w:val="20"/>
              </w:rPr>
              <w:t>N.J.S.A. 46:8-19</w:t>
            </w:r>
          </w:p>
        </w:tc>
      </w:tr>
    </w:tbl>
    <w:p/>
    <w:p>
      <w:r>
        <w:rPr>
          <w:b/>
          <w:color w:val="222222"/>
          <w:sz w:val="22"/>
        </w:rPr>
        <w:t>CONDITIONAL JURISDICTIONS (9)</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1C2B4A"/>
          </w:tcPr>
          <w:p>
            <w:r>
              <w:rPr>
                <w:b/>
                <w:color w:val="FFFFFF"/>
                <w:sz w:val="20"/>
              </w:rPr>
              <w:t>Jurisdiction</w:t>
            </w:r>
          </w:p>
        </w:tc>
        <w:tc>
          <w:tcPr>
            <w:tcW w:type="dxa" w:w="2160"/>
            <w:shd w:val="clear" w:fill="1C2B4A"/>
          </w:tcPr>
          <w:p>
            <w:r>
              <w:rPr>
                <w:b/>
                <w:color w:val="FFFFFF"/>
                <w:sz w:val="20"/>
              </w:rPr>
              <w:t>Rate mechanism</w:t>
            </w:r>
          </w:p>
        </w:tc>
        <w:tc>
          <w:tcPr>
            <w:tcW w:type="dxa" w:w="2160"/>
            <w:shd w:val="clear" w:fill="1C2B4A"/>
          </w:tcPr>
          <w:p>
            <w:r>
              <w:rPr>
                <w:b/>
                <w:color w:val="FFFFFF"/>
                <w:sz w:val="20"/>
              </w:rPr>
              <w:t>The gate</w:t>
            </w:r>
          </w:p>
        </w:tc>
        <w:tc>
          <w:tcPr>
            <w:tcW w:type="dxa" w:w="2160"/>
            <w:shd w:val="clear" w:fill="1C2B4A"/>
          </w:tcPr>
          <w:p>
            <w:r>
              <w:rPr>
                <w:b/>
                <w:color w:val="FFFFFF"/>
                <w:sz w:val="20"/>
              </w:rPr>
              <w:t>Statute</w:t>
            </w:r>
          </w:p>
        </w:tc>
      </w:tr>
      <w:tr>
        <w:tc>
          <w:tcPr>
            <w:tcW w:type="dxa" w:w="2160"/>
          </w:tcPr>
          <w:p>
            <w:r>
              <w:rPr>
                <w:b w:val="0"/>
                <w:color w:val="222222"/>
                <w:sz w:val="20"/>
              </w:rPr>
              <w:t>District of Columbia</w:t>
            </w:r>
          </w:p>
        </w:tc>
        <w:tc>
          <w:tcPr>
            <w:tcW w:type="dxa" w:w="2160"/>
          </w:tcPr>
          <w:p>
            <w:r>
              <w:rPr>
                <w:b w:val="0"/>
                <w:color w:val="222222"/>
                <w:sz w:val="20"/>
              </w:rPr>
              <w:t>Statement-savings rate</w:t>
            </w:r>
          </w:p>
        </w:tc>
        <w:tc>
          <w:tcPr>
            <w:tcW w:type="dxa" w:w="2160"/>
          </w:tcPr>
          <w:p>
            <w:r>
              <w:rPr>
                <w:b w:val="0"/>
                <w:color w:val="222222"/>
                <w:sz w:val="20"/>
              </w:rPr>
              <w:t>Tenancy of 12 months or more; paid at termination</w:t>
            </w:r>
          </w:p>
        </w:tc>
        <w:tc>
          <w:tcPr>
            <w:tcW w:type="dxa" w:w="2160"/>
          </w:tcPr>
          <w:p>
            <w:r>
              <w:rPr>
                <w:b w:val="0"/>
                <w:color w:val="222222"/>
                <w:sz w:val="20"/>
              </w:rPr>
              <w:t>14 DCMR 311</w:t>
            </w:r>
          </w:p>
        </w:tc>
      </w:tr>
      <w:tr>
        <w:tc>
          <w:tcPr>
            <w:tcW w:type="dxa" w:w="2160"/>
          </w:tcPr>
          <w:p>
            <w:r>
              <w:rPr>
                <w:b w:val="0"/>
                <w:color w:val="222222"/>
                <w:sz w:val="20"/>
              </w:rPr>
              <w:t>Florida</w:t>
            </w:r>
          </w:p>
        </w:tc>
        <w:tc>
          <w:tcPr>
            <w:tcW w:type="dxa" w:w="2160"/>
          </w:tcPr>
          <w:p>
            <w:r>
              <w:rPr>
                <w:b w:val="0"/>
                <w:color w:val="222222"/>
                <w:sz w:val="20"/>
              </w:rPr>
              <w:t>75% of account's annualized average, or 5% simple</w:t>
            </w:r>
          </w:p>
        </w:tc>
        <w:tc>
          <w:tcPr>
            <w:tcW w:type="dxa" w:w="2160"/>
          </w:tcPr>
          <w:p>
            <w:r>
              <w:rPr>
                <w:b w:val="0"/>
                <w:color w:val="222222"/>
                <w:sz w:val="20"/>
              </w:rPr>
              <w:t>Only if landlord elects an interest-bearing account</w:t>
            </w:r>
          </w:p>
        </w:tc>
        <w:tc>
          <w:tcPr>
            <w:tcW w:type="dxa" w:w="2160"/>
          </w:tcPr>
          <w:p>
            <w:r>
              <w:rPr>
                <w:b w:val="0"/>
                <w:color w:val="222222"/>
                <w:sz w:val="20"/>
              </w:rPr>
              <w:t>Fla. Stat. 83.49(1)</w:t>
            </w:r>
          </w:p>
        </w:tc>
      </w:tr>
      <w:tr>
        <w:tc>
          <w:tcPr>
            <w:tcW w:type="dxa" w:w="2160"/>
          </w:tcPr>
          <w:p>
            <w:r>
              <w:rPr>
                <w:b w:val="0"/>
                <w:color w:val="222222"/>
                <w:sz w:val="20"/>
              </w:rPr>
              <w:t>Illinois</w:t>
            </w:r>
          </w:p>
        </w:tc>
        <w:tc>
          <w:tcPr>
            <w:tcW w:type="dxa" w:w="2160"/>
          </w:tcPr>
          <w:p>
            <w:r>
              <w:rPr>
                <w:b w:val="0"/>
                <w:color w:val="222222"/>
                <w:sz w:val="20"/>
              </w:rPr>
              <w:t>Largest-bank passbook rate</w:t>
            </w:r>
          </w:p>
        </w:tc>
        <w:tc>
          <w:tcPr>
            <w:tcW w:type="dxa" w:w="2160"/>
          </w:tcPr>
          <w:p>
            <w:r>
              <w:rPr>
                <w:b w:val="0"/>
                <w:color w:val="222222"/>
                <w:sz w:val="20"/>
              </w:rPr>
              <w:t>Buildings/complexes of 25+ units; held over 6 months</w:t>
            </w:r>
          </w:p>
        </w:tc>
        <w:tc>
          <w:tcPr>
            <w:tcW w:type="dxa" w:w="2160"/>
          </w:tcPr>
          <w:p>
            <w:r>
              <w:rPr>
                <w:b w:val="0"/>
                <w:color w:val="222222"/>
                <w:sz w:val="20"/>
              </w:rPr>
              <w:t>765 ILCS 715</w:t>
            </w:r>
          </w:p>
        </w:tc>
      </w:tr>
      <w:tr>
        <w:tc>
          <w:tcPr>
            <w:tcW w:type="dxa" w:w="2160"/>
          </w:tcPr>
          <w:p>
            <w:r>
              <w:rPr>
                <w:b w:val="0"/>
                <w:color w:val="222222"/>
                <w:sz w:val="20"/>
              </w:rPr>
              <w:t>Iowa</w:t>
            </w:r>
          </w:p>
        </w:tc>
        <w:tc>
          <w:tcPr>
            <w:tcW w:type="dxa" w:w="2160"/>
          </w:tcPr>
          <w:p>
            <w:r>
              <w:rPr>
                <w:b w:val="0"/>
                <w:color w:val="222222"/>
                <w:sz w:val="20"/>
              </w:rPr>
              <w:t>Account interest</w:t>
            </w:r>
          </w:p>
        </w:tc>
        <w:tc>
          <w:tcPr>
            <w:tcW w:type="dxa" w:w="2160"/>
          </w:tcPr>
          <w:p>
            <w:r>
              <w:rPr>
                <w:b w:val="0"/>
                <w:color w:val="222222"/>
                <w:sz w:val="20"/>
              </w:rPr>
              <w:t>First 5 years of interest belong to the landlord</w:t>
            </w:r>
          </w:p>
        </w:tc>
        <w:tc>
          <w:tcPr>
            <w:tcW w:type="dxa" w:w="2160"/>
          </w:tcPr>
          <w:p>
            <w:r>
              <w:rPr>
                <w:b w:val="0"/>
                <w:color w:val="222222"/>
                <w:sz w:val="20"/>
              </w:rPr>
              <w:t>Iowa Code 562A.12</w:t>
            </w:r>
          </w:p>
        </w:tc>
      </w:tr>
      <w:tr>
        <w:tc>
          <w:tcPr>
            <w:tcW w:type="dxa" w:w="2160"/>
          </w:tcPr>
          <w:p>
            <w:r>
              <w:rPr>
                <w:b w:val="0"/>
                <w:color w:val="222222"/>
                <w:sz w:val="20"/>
              </w:rPr>
              <w:t>New Mexico</w:t>
            </w:r>
          </w:p>
        </w:tc>
        <w:tc>
          <w:tcPr>
            <w:tcW w:type="dxa" w:w="2160"/>
          </w:tcPr>
          <w:p>
            <w:r>
              <w:rPr>
                <w:b w:val="0"/>
                <w:color w:val="222222"/>
                <w:sz w:val="20"/>
              </w:rPr>
              <w:t>Passbook rate, paid yearly</w:t>
            </w:r>
          </w:p>
        </w:tc>
        <w:tc>
          <w:tcPr>
            <w:tcW w:type="dxa" w:w="2160"/>
          </w:tcPr>
          <w:p>
            <w:r>
              <w:rPr>
                <w:b w:val="0"/>
                <w:color w:val="222222"/>
                <w:sz w:val="20"/>
              </w:rPr>
              <w:t>Annual lease with deposit over one month's rent</w:t>
            </w:r>
          </w:p>
        </w:tc>
        <w:tc>
          <w:tcPr>
            <w:tcW w:type="dxa" w:w="2160"/>
          </w:tcPr>
          <w:p>
            <w:r>
              <w:rPr>
                <w:b w:val="0"/>
                <w:color w:val="222222"/>
                <w:sz w:val="20"/>
              </w:rPr>
              <w:t>NMSA 47-8-18</w:t>
            </w:r>
          </w:p>
        </w:tc>
      </w:tr>
      <w:tr>
        <w:tc>
          <w:tcPr>
            <w:tcW w:type="dxa" w:w="2160"/>
          </w:tcPr>
          <w:p>
            <w:r>
              <w:rPr>
                <w:b w:val="0"/>
                <w:color w:val="222222"/>
                <w:sz w:val="20"/>
              </w:rPr>
              <w:t>New York</w:t>
            </w:r>
          </w:p>
        </w:tc>
        <w:tc>
          <w:tcPr>
            <w:tcW w:type="dxa" w:w="2160"/>
          </w:tcPr>
          <w:p>
            <w:r>
              <w:rPr>
                <w:b w:val="0"/>
                <w:color w:val="222222"/>
                <w:sz w:val="20"/>
              </w:rPr>
              <w:t>Bank interest; landlord keeps 1% admin</w:t>
            </w:r>
          </w:p>
        </w:tc>
        <w:tc>
          <w:tcPr>
            <w:tcW w:type="dxa" w:w="2160"/>
          </w:tcPr>
          <w:p>
            <w:r>
              <w:rPr>
                <w:b w:val="0"/>
                <w:color w:val="222222"/>
                <w:sz w:val="20"/>
              </w:rPr>
              <w:t>Buildings of 6 or more units</w:t>
            </w:r>
          </w:p>
        </w:tc>
        <w:tc>
          <w:tcPr>
            <w:tcW w:type="dxa" w:w="2160"/>
          </w:tcPr>
          <w:p>
            <w:r>
              <w:rPr>
                <w:b w:val="0"/>
                <w:color w:val="222222"/>
                <w:sz w:val="20"/>
              </w:rPr>
              <w:t>GOL 7-103</w:t>
            </w:r>
          </w:p>
        </w:tc>
      </w:tr>
      <w:tr>
        <w:tc>
          <w:tcPr>
            <w:tcW w:type="dxa" w:w="2160"/>
          </w:tcPr>
          <w:p>
            <w:r>
              <w:rPr>
                <w:b w:val="0"/>
                <w:color w:val="222222"/>
                <w:sz w:val="20"/>
              </w:rPr>
              <w:t>North Dakota</w:t>
            </w:r>
          </w:p>
        </w:tc>
        <w:tc>
          <w:tcPr>
            <w:tcW w:type="dxa" w:w="2160"/>
          </w:tcPr>
          <w:p>
            <w:r>
              <w:rPr>
                <w:b w:val="0"/>
                <w:color w:val="222222"/>
                <w:sz w:val="20"/>
              </w:rPr>
              <w:t>Interest earned by required insured account</w:t>
            </w:r>
          </w:p>
        </w:tc>
        <w:tc>
          <w:tcPr>
            <w:tcW w:type="dxa" w:w="2160"/>
          </w:tcPr>
          <w:p>
            <w:r>
              <w:rPr>
                <w:b w:val="0"/>
                <w:color w:val="222222"/>
                <w:sz w:val="20"/>
              </w:rPr>
              <w:t>Occupancy of nine months or longer</w:t>
            </w:r>
          </w:p>
        </w:tc>
        <w:tc>
          <w:tcPr>
            <w:tcW w:type="dxa" w:w="2160"/>
          </w:tcPr>
          <w:p>
            <w:r>
              <w:rPr>
                <w:b w:val="0"/>
                <w:color w:val="222222"/>
                <w:sz w:val="20"/>
              </w:rPr>
              <w:t>N.D.C.C. 47-16-07.1</w:t>
            </w:r>
          </w:p>
        </w:tc>
      </w:tr>
      <w:tr>
        <w:tc>
          <w:tcPr>
            <w:tcW w:type="dxa" w:w="2160"/>
          </w:tcPr>
          <w:p>
            <w:r>
              <w:rPr>
                <w:b w:val="0"/>
                <w:color w:val="222222"/>
                <w:sz w:val="20"/>
              </w:rPr>
              <w:t>Ohio</w:t>
            </w:r>
          </w:p>
        </w:tc>
        <w:tc>
          <w:tcPr>
            <w:tcW w:type="dxa" w:w="2160"/>
          </w:tcPr>
          <w:p>
            <w:r>
              <w:rPr>
                <w:b w:val="0"/>
                <w:color w:val="222222"/>
                <w:sz w:val="20"/>
              </w:rPr>
              <w:t>5%/yr on the excess portion</w:t>
            </w:r>
          </w:p>
        </w:tc>
        <w:tc>
          <w:tcPr>
            <w:tcW w:type="dxa" w:w="2160"/>
          </w:tcPr>
          <w:p>
            <w:r>
              <w:rPr>
                <w:b w:val="0"/>
                <w:color w:val="222222"/>
                <w:sz w:val="20"/>
              </w:rPr>
              <w:t>Excess over $50 or one month's rent; tenancy 6+ months</w:t>
            </w:r>
          </w:p>
        </w:tc>
        <w:tc>
          <w:tcPr>
            <w:tcW w:type="dxa" w:w="2160"/>
          </w:tcPr>
          <w:p>
            <w:r>
              <w:rPr>
                <w:b w:val="0"/>
                <w:color w:val="222222"/>
                <w:sz w:val="20"/>
              </w:rPr>
              <w:t>ORC 5321.16</w:t>
            </w:r>
          </w:p>
        </w:tc>
      </w:tr>
      <w:tr>
        <w:tc>
          <w:tcPr>
            <w:tcW w:type="dxa" w:w="2160"/>
          </w:tcPr>
          <w:p>
            <w:r>
              <w:rPr>
                <w:b w:val="0"/>
                <w:color w:val="222222"/>
                <w:sz w:val="20"/>
              </w:rPr>
              <w:t>Pennsylvania</w:t>
            </w:r>
          </w:p>
        </w:tc>
        <w:tc>
          <w:tcPr>
            <w:tcW w:type="dxa" w:w="2160"/>
          </w:tcPr>
          <w:p>
            <w:r>
              <w:rPr>
                <w:b w:val="0"/>
                <w:color w:val="222222"/>
                <w:sz w:val="20"/>
              </w:rPr>
              <w:t>Escrow interest; landlord keeps 1% admin fee</w:t>
            </w:r>
          </w:p>
        </w:tc>
        <w:tc>
          <w:tcPr>
            <w:tcW w:type="dxa" w:w="2160"/>
          </w:tcPr>
          <w:p>
            <w:r>
              <w:rPr>
                <w:b w:val="0"/>
                <w:color w:val="222222"/>
                <w:sz w:val="20"/>
              </w:rPr>
              <w:t>Funds over $100; only after the deposit's second year</w:t>
            </w:r>
          </w:p>
        </w:tc>
        <w:tc>
          <w:tcPr>
            <w:tcW w:type="dxa" w:w="2160"/>
          </w:tcPr>
          <w:p>
            <w:r>
              <w:rPr>
                <w:b w:val="0"/>
                <w:color w:val="222222"/>
                <w:sz w:val="20"/>
              </w:rPr>
              <w:t>68 P.S. 250.511b</w:t>
            </w:r>
          </w:p>
        </w:tc>
      </w:tr>
    </w:tbl>
    <w:p/>
    <w:p>
      <w:r>
        <w:rPr>
          <w:b/>
          <w:color w:val="222222"/>
          <w:sz w:val="22"/>
        </w:rPr>
        <w:t>NO STATEWIDE INTEREST REQUIREMENT (36)</w:t>
      </w:r>
    </w:p>
    <w:tbl>
      <w:tblPr>
        <w:tblStyle w:val="TableGrid"/>
        <w:tblW w:type="auto" w:w="0"/>
        <w:tblLook w:firstColumn="1" w:firstRow="1" w:lastColumn="0" w:lastRow="0" w:noHBand="0" w:noVBand="1" w:val="04A0"/>
      </w:tblPr>
      <w:tblGrid>
        <w:gridCol w:w="4320"/>
        <w:gridCol w:w="4320"/>
      </w:tblGrid>
      <w:tr>
        <w:tc>
          <w:tcPr>
            <w:tcW w:type="dxa" w:w="4320"/>
            <w:shd w:val="clear" w:fill="1C2B4A"/>
          </w:tcPr>
          <w:p>
            <w:r>
              <w:rPr>
                <w:b/>
                <w:color w:val="FFFFFF"/>
                <w:sz w:val="20"/>
              </w:rPr>
              <w:t>States</w:t>
            </w:r>
          </w:p>
        </w:tc>
        <w:tc>
          <w:tcPr>
            <w:tcW w:type="dxa" w:w="4320"/>
            <w:shd w:val="clear" w:fill="1C2B4A"/>
          </w:tcPr>
          <w:p>
            <w:r>
              <w:rPr>
                <w:b/>
                <w:color w:val="FFFFFF"/>
                <w:sz w:val="20"/>
              </w:rPr>
              <w:t>Note</w:t>
            </w:r>
          </w:p>
        </w:tc>
      </w:tr>
      <w:tr>
        <w:tc>
          <w:tcPr>
            <w:tcW w:type="dxa" w:w="4320"/>
          </w:tcPr>
          <w:p>
            <w:r>
              <w:rPr>
                <w:b w:val="0"/>
                <w:color w:val="222222"/>
                <w:sz w:val="20"/>
              </w:rPr>
              <w:t>Alabama, Alaska, Arizona, Arkansas, Colorado, Delaware, Hawaii, Idaho, Indiana, Kansas, Kentucky, Louisiana</w:t>
            </w:r>
          </w:p>
        </w:tc>
        <w:tc>
          <w:tcPr>
            <w:tcW w:type="dxa" w:w="4320"/>
          </w:tcPr>
          <w:p>
            <w:r>
              <w:rPr>
                <w:b w:val="0"/>
                <w:color w:val="222222"/>
                <w:sz w:val="20"/>
              </w:rPr>
              <w:t>No interest provision in the state deposit statute</w:t>
            </w:r>
          </w:p>
        </w:tc>
      </w:tr>
      <w:tr>
        <w:tc>
          <w:tcPr>
            <w:tcW w:type="dxa" w:w="4320"/>
          </w:tcPr>
          <w:p>
            <w:r>
              <w:rPr>
                <w:b w:val="0"/>
                <w:color w:val="222222"/>
                <w:sz w:val="20"/>
              </w:rPr>
              <w:t>Maine, Michigan, Mississippi, Missouri, Montana, Nebraska, Nevada, Oklahoma, Oregon, Rhode Island, South Carolina, South Dakota</w:t>
            </w:r>
          </w:p>
        </w:tc>
        <w:tc>
          <w:tcPr>
            <w:tcW w:type="dxa" w:w="4320"/>
          </w:tcPr>
          <w:p>
            <w:r>
              <w:rPr>
                <w:b w:val="0"/>
                <w:color w:val="222222"/>
                <w:sz w:val="20"/>
              </w:rPr>
              <w:t>No interest provision in the state deposit statute</w:t>
            </w:r>
          </w:p>
        </w:tc>
      </w:tr>
      <w:tr>
        <w:tc>
          <w:tcPr>
            <w:tcW w:type="dxa" w:w="4320"/>
          </w:tcPr>
          <w:p>
            <w:r>
              <w:rPr>
                <w:b w:val="0"/>
                <w:color w:val="222222"/>
                <w:sz w:val="20"/>
              </w:rPr>
              <w:t>Tennessee, Texas, Utah, Vermont, Virginia, Washington, West Virginia, Wisconsin, Wyoming</w:t>
            </w:r>
          </w:p>
        </w:tc>
        <w:tc>
          <w:tcPr>
            <w:tcW w:type="dxa" w:w="4320"/>
          </w:tcPr>
          <w:p>
            <w:r>
              <w:rPr>
                <w:b w:val="0"/>
                <w:color w:val="222222"/>
                <w:sz w:val="20"/>
              </w:rPr>
              <w:t>No interest provision (Virginia's former interest rule is no longer in force)</w:t>
            </w:r>
          </w:p>
        </w:tc>
      </w:tr>
      <w:tr>
        <w:tc>
          <w:tcPr>
            <w:tcW w:type="dxa" w:w="4320"/>
          </w:tcPr>
          <w:p>
            <w:r>
              <w:rPr>
                <w:b w:val="0"/>
                <w:color w:val="222222"/>
                <w:sz w:val="20"/>
              </w:rPr>
              <w:t>California</w:t>
            </w:r>
          </w:p>
        </w:tc>
        <w:tc>
          <w:tcPr>
            <w:tcW w:type="dxa" w:w="4320"/>
          </w:tcPr>
          <w:p>
            <w:r>
              <w:rPr>
                <w:b w:val="0"/>
                <w:color w:val="222222"/>
                <w:sz w:val="20"/>
              </w:rPr>
              <w:t>No statewide rule, BUT Los Angeles (RSO units, held 1 year+) and San Francisco (held over 1 year) require interest by ordinance</w:t>
            </w:r>
          </w:p>
        </w:tc>
      </w:tr>
      <w:tr>
        <w:tc>
          <w:tcPr>
            <w:tcW w:type="dxa" w:w="4320"/>
          </w:tcPr>
          <w:p>
            <w:r>
              <w:rPr>
                <w:b w:val="0"/>
                <w:color w:val="222222"/>
                <w:sz w:val="20"/>
              </w:rPr>
              <w:t>Georgia, North Carolina</w:t>
            </w:r>
          </w:p>
        </w:tc>
        <w:tc>
          <w:tcPr>
            <w:tcW w:type="dxa" w:w="4320"/>
          </w:tcPr>
          <w:p>
            <w:r>
              <w:rPr>
                <w:b w:val="0"/>
                <w:color w:val="222222"/>
                <w:sz w:val="20"/>
              </w:rPr>
              <w:t>Trust account or bond required for custody, but no interest owed to the tenant</w:t>
            </w:r>
          </w:p>
        </w:tc>
      </w:tr>
      <w:tr>
        <w:tc>
          <w:tcPr>
            <w:tcW w:type="dxa" w:w="4320"/>
          </w:tcPr>
          <w:p>
            <w:r>
              <w:rPr>
                <w:b w:val="0"/>
                <w:color w:val="222222"/>
                <w:sz w:val="20"/>
              </w:rPr>
              <w:t>Illinois note</w:t>
            </w:r>
          </w:p>
        </w:tc>
        <w:tc>
          <w:tcPr>
            <w:tcW w:type="dxa" w:w="4320"/>
          </w:tcPr>
          <w:p>
            <w:r>
              <w:rPr>
                <w:b w:val="0"/>
                <w:color w:val="222222"/>
                <w:sz w:val="20"/>
              </w:rPr>
              <w:t>Outside 25+ unit buildings no state duty, BUT Chicago's RLTO requires interest on deposits held more than 6 months</w:t>
            </w:r>
          </w:p>
        </w:tc>
      </w:tr>
    </w:tbl>
    <w:p/>
    <w:p>
      <w:pPr>
        <w:spacing w:before="160"/>
      </w:pPr>
      <w:r>
        <w:rPr>
          <w:b/>
          <w:color w:val="1C2B4A"/>
          <w:sz w:val="27"/>
        </w:rPr>
        <w:t>How to Use This Table</w:t>
      </w:r>
    </w:p>
    <w:p>
      <w:r>
        <w:rPr>
          <w:b w:val="0"/>
          <w:color w:val="222222"/>
          <w:sz w:val="22"/>
        </w:rPr>
        <w:t>Find your jurisdiction, read the gate or conditions cell first, and only then the rate. Index-based rates (Connecticut, New York, Chicago, San Francisco) reset every year, so confirm the current percentage from the official publisher named in the statute before computing what is owed. Tenants: a written request citing the statute is usually all it takes. Landlords: open the account type your statute names, calendar the payment date, and write the arrangement into the lease.</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table is general information, not legal advice. Every Yes and Conditional row was verified against the state statute in July 2026; No rows were confirmed against each state's deposit statute, cross-referenced with ClearLegalTips' companion dataset of deposit caps and return deadlines. Index-based rates change annually and city ordinances change more often than statutes, so verify the current rate with the official publisher before relying on a specific percentage. Dataset license: CC-BY 4.0, reuse with attribution. Full guide, city-ordinance detail, sources, and the downloadable CSV: clearlegaltips.com/security-deposit-interest-by-state/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