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State Divorce Requirements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Divorce rules vary by state. Look up your state’s specifics and record them here before you file.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My State</w:t>
      </w:r>
    </w:p>
    <w:p>
      <w:r>
        <w:rPr>
          <w:b/>
          <w:color w:val="111111"/>
          <w:sz w:val="22"/>
        </w:rPr>
        <w:t xml:space="preserve">State: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Residency requirement: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Mandatory waiting period: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Filing fee: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Court / self-help website: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Forms</w:t>
      </w:r>
    </w:p>
    <w:p>
      <w:r>
        <w:rPr>
          <w:b/>
          <w:color w:val="111111"/>
          <w:sz w:val="22"/>
        </w:rPr>
        <w:t xml:space="preserve">Name of the petition form: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Financial disclosure required</w:t>
      </w:r>
    </w:p>
    <w:p>
      <w:pPr>
        <w:ind w:left="216"/>
      </w:pPr>
      <w:r>
        <w:rPr>
          <w:b w:val="0"/>
          <w:color w:val="111111"/>
          <w:sz w:val="22"/>
        </w:rPr>
        <w:t>☐  Parenting class required (if children)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