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New York LLC Cost Worksheet (2026)</w:t>
      </w:r>
    </w:p>
    <w:p>
      <w:pPr>
        <w:spacing w:after="200"/>
        <w:pBdr>
          <w:bottom w:val="single" w:sz="12" w:space="2" w:color="C9A23A"/>
        </w:pBdr>
      </w:pPr>
      <w:r>
        <w:rPr>
          <w:b/>
          <w:color w:val="1C2B4A"/>
          <w:sz w:val="26"/>
        </w:rPr>
        <w:t>Price your formation, your publication, and your recurring fees before you file</w:t>
      </w:r>
    </w:p>
    <w:p>
      <w:r>
        <w:rPr>
          <w:b/>
          <w:color w:val="1C2B4A"/>
          <w:sz w:val="27"/>
        </w:rPr>
        <w:t>New York LLC Cost Worksheet</w:t>
      </w:r>
    </w:p>
    <w:p>
      <w:pPr>
        <w:spacing w:after="80"/>
      </w:pPr>
      <w:r>
        <w:rPr>
          <w:b w:val="0"/>
          <w:color w:val="111111"/>
          <w:sz w:val="22"/>
        </w:rPr>
        <w:t>Every state fee below was verified against dos.ny.gov and tax.ny.gov in 2026. The one number the state does not set is what the two newspapers charge for publication, so this worksheet gives you the fixed fees and a place to record real quotes. Full guide and the 50-state comparison: clearlegaltips.com/llc-filing-fees-by-state/</w:t>
      </w:r>
    </w:p>
    <w:p>
      <w:pPr>
        <w:spacing w:before="220"/>
      </w:pPr>
      <w:r>
        <w:rPr>
          <w:b/>
          <w:color w:val="1C2B4A"/>
          <w:sz w:val="27"/>
        </w:rPr>
        <w:t>Fixed state fees (verified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Item</w:t>
            </w:r>
          </w:p>
        </w:tc>
        <w:tc>
          <w:tcPr>
            <w:tcW w:type="dxa" w:w="2880"/>
            <w:shd w:val="clear" w:fill="1C2B4A"/>
          </w:tcPr>
          <w:p>
            <w:r>
              <w:rPr>
                <w:b/>
                <w:color w:val="FFFFFF"/>
                <w:sz w:val="20"/>
              </w:rPr>
              <w:t>Amount</w:t>
            </w:r>
          </w:p>
        </w:tc>
        <w:tc>
          <w:tcPr>
            <w:tcW w:type="dxa" w:w="2880"/>
            <w:shd w:val="clear" w:fill="1C2B4A"/>
          </w:tcPr>
          <w:p>
            <w:r>
              <w:rPr>
                <w:b/>
                <w:color w:val="FFFFFF"/>
                <w:sz w:val="20"/>
              </w:rPr>
              <w:t>When</w:t>
            </w:r>
          </w:p>
        </w:tc>
      </w:tr>
      <w:tr>
        <w:tc>
          <w:tcPr>
            <w:tcW w:type="dxa" w:w="2880"/>
          </w:tcPr>
          <w:p>
            <w:r>
              <w:rPr>
                <w:b w:val="0"/>
                <w:color w:val="111111"/>
                <w:sz w:val="20"/>
              </w:rPr>
              <w:t>Articles of Organization</w:t>
            </w:r>
          </w:p>
        </w:tc>
        <w:tc>
          <w:tcPr>
            <w:tcW w:type="dxa" w:w="2880"/>
          </w:tcPr>
          <w:p>
            <w:r>
              <w:rPr>
                <w:b w:val="0"/>
                <w:color w:val="111111"/>
                <w:sz w:val="20"/>
              </w:rPr>
              <w:t>$200</w:t>
            </w:r>
          </w:p>
        </w:tc>
        <w:tc>
          <w:tcPr>
            <w:tcW w:type="dxa" w:w="2880"/>
          </w:tcPr>
          <w:p>
            <w:r>
              <w:rPr>
                <w:b w:val="0"/>
                <w:color w:val="111111"/>
                <w:sz w:val="20"/>
              </w:rPr>
              <w:t>At filing</w:t>
            </w:r>
          </w:p>
        </w:tc>
      </w:tr>
      <w:tr>
        <w:tc>
          <w:tcPr>
            <w:tcW w:type="dxa" w:w="2880"/>
          </w:tcPr>
          <w:p>
            <w:r>
              <w:rPr>
                <w:b w:val="0"/>
                <w:color w:val="111111"/>
                <w:sz w:val="20"/>
              </w:rPr>
              <w:t>Certificate of Publication</w:t>
            </w:r>
          </w:p>
        </w:tc>
        <w:tc>
          <w:tcPr>
            <w:tcW w:type="dxa" w:w="2880"/>
          </w:tcPr>
          <w:p>
            <w:r>
              <w:rPr>
                <w:b w:val="0"/>
                <w:color w:val="111111"/>
                <w:sz w:val="20"/>
              </w:rPr>
              <w:t>$50</w:t>
            </w:r>
          </w:p>
        </w:tc>
        <w:tc>
          <w:tcPr>
            <w:tcW w:type="dxa" w:w="2880"/>
          </w:tcPr>
          <w:p>
            <w:r>
              <w:rPr>
                <w:b w:val="0"/>
                <w:color w:val="111111"/>
                <w:sz w:val="20"/>
              </w:rPr>
              <w:t>Within 120 days of formation</w:t>
            </w:r>
          </w:p>
        </w:tc>
      </w:tr>
      <w:tr>
        <w:tc>
          <w:tcPr>
            <w:tcW w:type="dxa" w:w="2880"/>
          </w:tcPr>
          <w:p>
            <w:r>
              <w:rPr>
                <w:b w:val="0"/>
                <w:color w:val="111111"/>
                <w:sz w:val="20"/>
              </w:rPr>
              <w:t>Biennial Statement</w:t>
            </w:r>
          </w:p>
        </w:tc>
        <w:tc>
          <w:tcPr>
            <w:tcW w:type="dxa" w:w="2880"/>
          </w:tcPr>
          <w:p>
            <w:r>
              <w:rPr>
                <w:b w:val="0"/>
                <w:color w:val="111111"/>
                <w:sz w:val="20"/>
              </w:rPr>
              <w:t>$9</w:t>
            </w:r>
          </w:p>
        </w:tc>
        <w:tc>
          <w:tcPr>
            <w:tcW w:type="dxa" w:w="2880"/>
          </w:tcPr>
          <w:p>
            <w:r>
              <w:rPr>
                <w:b w:val="0"/>
                <w:color w:val="111111"/>
                <w:sz w:val="20"/>
              </w:rPr>
              <w:t>Every 2 years, in your anniversary month</w:t>
            </w:r>
          </w:p>
        </w:tc>
      </w:tr>
      <w:tr>
        <w:tc>
          <w:tcPr>
            <w:tcW w:type="dxa" w:w="2880"/>
          </w:tcPr>
          <w:p>
            <w:r>
              <w:rPr>
                <w:b w:val="0"/>
                <w:color w:val="111111"/>
                <w:sz w:val="20"/>
              </w:rPr>
              <w:t>Annual filing fee (Form IT-204-LL)</w:t>
            </w:r>
          </w:p>
        </w:tc>
        <w:tc>
          <w:tcPr>
            <w:tcW w:type="dxa" w:w="2880"/>
          </w:tcPr>
          <w:p>
            <w:r>
              <w:rPr>
                <w:b w:val="0"/>
                <w:color w:val="111111"/>
                <w:sz w:val="20"/>
              </w:rPr>
              <w:t>$25 to $4,500 by NY-source income</w:t>
            </w:r>
          </w:p>
        </w:tc>
        <w:tc>
          <w:tcPr>
            <w:tcW w:type="dxa" w:w="2880"/>
          </w:tcPr>
          <w:p>
            <w:r>
              <w:rPr>
                <w:b w:val="0"/>
                <w:color w:val="111111"/>
                <w:sz w:val="20"/>
              </w:rPr>
              <w:t>15th day of the 3rd month after year-end</w:t>
            </w:r>
          </w:p>
        </w:tc>
      </w:tr>
    </w:tbl>
    <w:p/>
    <w:p>
      <w:pPr>
        <w:spacing w:before="220"/>
      </w:pPr>
      <w:r>
        <w:rPr>
          <w:b/>
          <w:color w:val="1C2B4A"/>
          <w:sz w:val="27"/>
        </w:rPr>
        <w:t>Optional add-ons</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Option</w:t>
            </w:r>
          </w:p>
        </w:tc>
        <w:tc>
          <w:tcPr>
            <w:tcW w:type="dxa" w:w="2880"/>
            <w:shd w:val="clear" w:fill="1C2B4A"/>
          </w:tcPr>
          <w:p>
            <w:r>
              <w:rPr>
                <w:b/>
                <w:color w:val="FFFFFF"/>
                <w:sz w:val="20"/>
              </w:rPr>
              <w:t>Amount</w:t>
            </w:r>
          </w:p>
        </w:tc>
        <w:tc>
          <w:tcPr>
            <w:tcW w:type="dxa" w:w="2880"/>
            <w:shd w:val="clear" w:fill="1C2B4A"/>
          </w:tcPr>
          <w:p>
            <w:r>
              <w:rPr>
                <w:b/>
                <w:color w:val="FFFFFF"/>
                <w:sz w:val="20"/>
              </w:rPr>
              <w:t>Note</w:t>
            </w:r>
          </w:p>
        </w:tc>
      </w:tr>
      <w:tr>
        <w:tc>
          <w:tcPr>
            <w:tcW w:type="dxa" w:w="2880"/>
          </w:tcPr>
          <w:p>
            <w:r>
              <w:rPr>
                <w:b w:val="0"/>
                <w:color w:val="111111"/>
                <w:sz w:val="20"/>
              </w:rPr>
              <w:t>Name reservation</w:t>
            </w:r>
          </w:p>
        </w:tc>
        <w:tc>
          <w:tcPr>
            <w:tcW w:type="dxa" w:w="2880"/>
          </w:tcPr>
          <w:p>
            <w:r>
              <w:rPr>
                <w:b w:val="0"/>
                <w:color w:val="111111"/>
                <w:sz w:val="20"/>
              </w:rPr>
              <w:t>$20</w:t>
            </w:r>
          </w:p>
        </w:tc>
        <w:tc>
          <w:tcPr>
            <w:tcW w:type="dxa" w:w="2880"/>
          </w:tcPr>
          <w:p>
            <w:r>
              <w:rPr>
                <w:b w:val="0"/>
                <w:color w:val="111111"/>
                <w:sz w:val="20"/>
              </w:rPr>
              <w:t>Holds the name for 60 days before filing</w:t>
            </w:r>
          </w:p>
        </w:tc>
      </w:tr>
      <w:tr>
        <w:tc>
          <w:tcPr>
            <w:tcW w:type="dxa" w:w="2880"/>
          </w:tcPr>
          <w:p>
            <w:r>
              <w:rPr>
                <w:b w:val="0"/>
                <w:color w:val="111111"/>
                <w:sz w:val="20"/>
              </w:rPr>
              <w:t>Expedited handling</w:t>
            </w:r>
          </w:p>
        </w:tc>
        <w:tc>
          <w:tcPr>
            <w:tcW w:type="dxa" w:w="2880"/>
          </w:tcPr>
          <w:p>
            <w:r>
              <w:rPr>
                <w:b w:val="0"/>
                <w:color w:val="111111"/>
                <w:sz w:val="20"/>
              </w:rPr>
              <w:t>$25, $75, or $150 per document</w:t>
            </w:r>
          </w:p>
        </w:tc>
        <w:tc>
          <w:tcPr>
            <w:tcW w:type="dxa" w:w="2880"/>
          </w:tcPr>
          <w:p>
            <w:r>
              <w:rPr>
                <w:b w:val="0"/>
                <w:color w:val="111111"/>
                <w:sz w:val="20"/>
              </w:rPr>
              <w:t>24-hour, same-day, or 2-hour processing</w:t>
            </w:r>
          </w:p>
        </w:tc>
      </w:tr>
      <w:tr>
        <w:tc>
          <w:tcPr>
            <w:tcW w:type="dxa" w:w="2880"/>
          </w:tcPr>
          <w:p>
            <w:r>
              <w:rPr>
                <w:b w:val="0"/>
                <w:color w:val="111111"/>
                <w:sz w:val="20"/>
              </w:rPr>
              <w:t>EIN from the IRS</w:t>
            </w:r>
          </w:p>
        </w:tc>
        <w:tc>
          <w:tcPr>
            <w:tcW w:type="dxa" w:w="2880"/>
          </w:tcPr>
          <w:p>
            <w:r>
              <w:rPr>
                <w:b w:val="0"/>
                <w:color w:val="111111"/>
                <w:sz w:val="20"/>
              </w:rPr>
              <w:t>$0</w:t>
            </w:r>
          </w:p>
        </w:tc>
        <w:tc>
          <w:tcPr>
            <w:tcW w:type="dxa" w:w="2880"/>
          </w:tcPr>
          <w:p>
            <w:r>
              <w:rPr>
                <w:b w:val="0"/>
                <w:color w:val="111111"/>
                <w:sz w:val="20"/>
              </w:rPr>
              <w:t>Always free at irs.gov; never pay a third party</w:t>
            </w:r>
          </w:p>
        </w:tc>
      </w:tr>
    </w:tbl>
    <w:p/>
    <w:p>
      <w:pPr>
        <w:spacing w:before="220"/>
      </w:pPr>
      <w:r>
        <w:rPr>
          <w:b/>
          <w:color w:val="1C2B4A"/>
          <w:sz w:val="27"/>
        </w:rPr>
        <w:t>Price your publication (call before you file)</w:t>
      </w:r>
    </w:p>
    <w:p>
      <w:pPr>
        <w:spacing w:after="80"/>
      </w:pPr>
      <w:r>
        <w:rPr>
          <w:b w:val="0"/>
          <w:color w:val="111111"/>
          <w:sz w:val="22"/>
        </w:rPr>
        <w:t>Section 206 requires a notice once a week for six successive weeks in two newspapers of the county named in your Articles, one printed daily and one printed weekly, both designated by the county clerk. The state does not set the rates, so collect real quotes and write them here.</w:t>
      </w:r>
    </w:p>
    <w:p>
      <w:r>
        <w:rPr>
          <w:b/>
          <w:color w:val="111111"/>
          <w:sz w:val="22"/>
        </w:rPr>
        <w:t xml:space="preserve">County named (or to be named) in your Articles:  </w:t>
      </w:r>
      <w:r>
        <w:rPr>
          <w:b w:val="0"/>
          <w:color w:val="111111"/>
          <w:sz w:val="22"/>
        </w:rPr>
        <w:t>________________________________________</w:t>
      </w:r>
    </w:p>
    <w:p>
      <w:r>
        <w:rPr>
          <w:b/>
          <w:color w:val="111111"/>
          <w:sz w:val="22"/>
        </w:rPr>
        <w:t xml:space="preserve">County clerk called on (date):  </w:t>
      </w:r>
      <w:r>
        <w:rPr>
          <w:b w:val="0"/>
          <w:color w:val="111111"/>
          <w:sz w:val="22"/>
        </w:rPr>
        <w:t>________________________________________</w:t>
      </w:r>
    </w:p>
    <w:p>
      <w:r>
        <w:rPr>
          <w:b/>
          <w:color w:val="111111"/>
          <w:sz w:val="22"/>
        </w:rPr>
        <w:t xml:space="preserve">Designated daily newspaper and its quote ($):  </w:t>
      </w:r>
      <w:r>
        <w:rPr>
          <w:b w:val="0"/>
          <w:color w:val="111111"/>
          <w:sz w:val="22"/>
        </w:rPr>
        <w:t>________________________________________</w:t>
      </w:r>
    </w:p>
    <w:p>
      <w:r>
        <w:rPr>
          <w:b/>
          <w:color w:val="111111"/>
          <w:sz w:val="22"/>
        </w:rPr>
        <w:t xml:space="preserve">Designated weekly newspaper and its quote ($):  </w:t>
      </w:r>
      <w:r>
        <w:rPr>
          <w:b w:val="0"/>
          <w:color w:val="111111"/>
          <w:sz w:val="22"/>
        </w:rPr>
        <w:t>________________________________________</w:t>
      </w:r>
    </w:p>
    <w:p>
      <w:r>
        <w:rPr>
          <w:b/>
          <w:color w:val="111111"/>
          <w:sz w:val="22"/>
        </w:rPr>
        <w:t xml:space="preserve">Registered agent service, if using one ($ per year, or $0):  </w:t>
      </w:r>
      <w:r>
        <w:rPr>
          <w:b w:val="0"/>
          <w:color w:val="111111"/>
          <w:sz w:val="22"/>
        </w:rPr>
        <w:t>________________________________________</w:t>
      </w:r>
    </w:p>
    <w:p>
      <w:r>
        <w:rPr>
          <w:b/>
          <w:color w:val="111111"/>
          <w:sz w:val="22"/>
        </w:rPr>
        <w:t xml:space="preserve">Expedite tier chosen ($0, $25, $75, or $150):  </w:t>
      </w:r>
      <w:r>
        <w:rPr>
          <w:b w:val="0"/>
          <w:color w:val="111111"/>
          <w:sz w:val="22"/>
        </w:rPr>
        <w:t>________________________________________</w:t>
      </w:r>
    </w:p>
    <w:p>
      <w:r>
        <w:rPr>
          <w:b/>
          <w:color w:val="111111"/>
          <w:sz w:val="22"/>
        </w:rPr>
        <w:t xml:space="preserve">Name reservation ($0 or $20):  </w:t>
      </w:r>
      <w:r>
        <w:rPr>
          <w:b w:val="0"/>
          <w:color w:val="111111"/>
          <w:sz w:val="22"/>
        </w:rPr>
        <w:t>________________________________________</w:t>
      </w:r>
    </w:p>
    <w:p/>
    <w:p>
      <w:pPr>
        <w:spacing w:before="220"/>
      </w:pPr>
      <w:r>
        <w:rPr>
          <w:b/>
          <w:color w:val="1C2B4A"/>
          <w:sz w:val="27"/>
        </w:rPr>
        <w:t>Your year-one total</w:t>
      </w:r>
    </w:p>
    <w:p>
      <w:r>
        <w:rPr>
          <w:b/>
          <w:color w:val="111111"/>
          <w:sz w:val="22"/>
        </w:rPr>
        <w:t xml:space="preserve">$200 Articles + $50 certificate + both newspaper quotes + options = $:  </w:t>
      </w:r>
      <w:r>
        <w:rPr>
          <w:b w:val="0"/>
          <w:color w:val="111111"/>
          <w:sz w:val="22"/>
        </w:rPr>
        <w:t>________________________________________</w:t>
      </w:r>
    </w:p>
    <w:p/>
    <w:p>
      <w:pPr>
        <w:spacing w:before="220"/>
      </w:pPr>
      <w:r>
        <w:rPr>
          <w:b/>
          <w:color w:val="1C2B4A"/>
          <w:sz w:val="27"/>
        </w:rPr>
        <w:t>Recurring calendar</w:t>
      </w:r>
    </w:p>
    <w:p>
      <w:r>
        <w:rPr>
          <w:b/>
          <w:color w:val="111111"/>
          <w:sz w:val="22"/>
        </w:rPr>
        <w:t xml:space="preserve">Anniversary month (Biennial Statement due, $9 every 2 years):  </w:t>
      </w:r>
      <w:r>
        <w:rPr>
          <w:b w:val="0"/>
          <w:color w:val="111111"/>
          <w:sz w:val="22"/>
        </w:rPr>
        <w:t>________________________________________</w:t>
      </w:r>
    </w:p>
    <w:p>
      <w:r>
        <w:rPr>
          <w:b/>
          <w:color w:val="111111"/>
          <w:sz w:val="22"/>
        </w:rPr>
        <w:t xml:space="preserve">IT-204-LL reminder date (due the 15th day of the 3rd month after year-end; March 15 for calendar-year LLCs):  </w:t>
      </w:r>
      <w:r>
        <w:rPr>
          <w:b w:val="0"/>
          <w:color w:val="111111"/>
          <w:sz w:val="22"/>
        </w:rPr>
        <w:t>________________________________________</w:t>
      </w:r>
    </w:p>
    <w:p>
      <w:pPr>
        <w:ind w:left="216"/>
      </w:pPr>
      <w:r>
        <w:rPr>
          <w:b w:val="0"/>
          <w:color w:val="111111"/>
          <w:sz w:val="22"/>
        </w:rPr>
        <w:t>☐  Confirmed each figure on dos.ny.gov or tax.ny.gov before paying</w:t>
      </w:r>
    </w:p>
    <w:p>
      <w:pPr>
        <w:ind w:left="216"/>
      </w:pPr>
      <w:r>
        <w:rPr>
          <w:b w:val="0"/>
          <w:color w:val="111111"/>
          <w:sz w:val="22"/>
        </w:rPr>
        <w:t>☐  Saved both newspaper affidavits of publication with the LLC records</w:t>
      </w:r>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Every fixed fee on this worksheet was verified against the New York Department of State and the Department of Taxation and Finance in 2026; newspaper rates are set by the papers and change, so rely on your own written quotes. This worksheet is general information, not legal or tax advice. For advice on your situation, consult a licensed attorney or CPA. The maintained guide and 50-state table live at clearlegaltips.com/llc-filing-fees-by-state/</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