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Notice of Intent to Enter</w:t>
      </w:r>
    </w:p>
    <w:p>
      <w:pPr>
        <w:spacing w:after="200"/>
      </w:pPr>
      <w:r>
        <w:rPr>
          <w:b/>
          <w:color w:val="C9A23A"/>
          <w:sz w:val="28"/>
        </w:rPr>
        <w:t>A fillable landlord entry notice for repairs, inspections, and showings, with the verified state notice-period table</w:t>
      </w:r>
    </w:p>
    <w:p>
      <w:r>
        <w:rPr>
          <w:b w:val="0"/>
          <w:color w:val="222222"/>
          <w:sz w:val="22"/>
        </w:rPr>
        <w:t>Use this notice before any planned, non-emergency entry into an occupied rental: repairs the tenant did not request, periodic inspections, showings, appraisals, or contractor visits. Name a specific purpose, give a narrow time window, count the notice period from the day the notice is delivered, and complete the delivery record at the bottom. Emergencies need no notice, and tenant-requested repairs can run on a confirmed appointment instead. Full walkthrough and official sources: clearlegaltips.com/notice-to-enter-template/</w:t>
      </w:r>
    </w:p>
    <w:p>
      <w:r>
        <w:rPr>
          <w:b/>
          <w:color w:val="1C2B4A"/>
          <w:sz w:val="27"/>
        </w:rPr>
        <w:t>NOTICE OF INTENT TO ENTER</w:t>
      </w:r>
    </w:p>
    <w:p>
      <w:pPr>
        <w:spacing w:before="160"/>
      </w:pPr>
      <w:r>
        <w:rPr>
          <w:b/>
          <w:color w:val="1C2B4A"/>
          <w:sz w:val="27"/>
        </w:rPr>
        <w:t>1. Parties and Premises</w:t>
      </w:r>
    </w:p>
    <w:p>
      <w:r>
        <w:rPr>
          <w:b/>
          <w:color w:val="222222"/>
          <w:sz w:val="22"/>
        </w:rPr>
        <w:t xml:space="preserve">Date of this notice:  </w:t>
      </w:r>
      <w:r>
        <w:rPr>
          <w:b w:val="0"/>
          <w:color w:val="222222"/>
          <w:sz w:val="22"/>
        </w:rPr>
        <w:t>________________________________________</w:t>
      </w:r>
    </w:p>
    <w:p>
      <w:r>
        <w:rPr>
          <w:b/>
          <w:color w:val="222222"/>
          <w:sz w:val="22"/>
        </w:rPr>
        <w:t xml:space="preserve">Tenant name(s):  </w:t>
      </w:r>
      <w:r>
        <w:rPr>
          <w:b w:val="0"/>
          <w:color w:val="222222"/>
          <w:sz w:val="22"/>
        </w:rPr>
        <w:t>________________________________________</w:t>
      </w:r>
    </w:p>
    <w:p>
      <w:r>
        <w:rPr>
          <w:b/>
          <w:color w:val="222222"/>
          <w:sz w:val="22"/>
        </w:rPr>
        <w:t xml:space="preserve">Rental property address, including unit:  </w:t>
      </w:r>
      <w:r>
        <w:rPr>
          <w:b w:val="0"/>
          <w:color w:val="222222"/>
          <w:sz w:val="22"/>
        </w:rPr>
        <w:t>________________________________________</w:t>
      </w:r>
    </w:p>
    <w:p>
      <w:r>
        <w:rPr>
          <w:b/>
          <w:color w:val="222222"/>
          <w:sz w:val="22"/>
        </w:rPr>
        <w:t xml:space="preserve">Landlord / property manager name:  </w:t>
      </w:r>
      <w:r>
        <w:rPr>
          <w:b w:val="0"/>
          <w:color w:val="222222"/>
          <w:sz w:val="22"/>
        </w:rPr>
        <w:t>________________________________________</w:t>
      </w:r>
    </w:p>
    <w:p>
      <w:pPr>
        <w:spacing w:before="160"/>
      </w:pPr>
      <w:r>
        <w:rPr>
          <w:b/>
          <w:color w:val="1C2B4A"/>
          <w:sz w:val="27"/>
        </w:rPr>
        <w:t>2. Planned Entry</w:t>
      </w:r>
    </w:p>
    <w:p>
      <w:r>
        <w:rPr>
          <w:b/>
          <w:color w:val="222222"/>
          <w:sz w:val="22"/>
        </w:rPr>
        <w:t xml:space="preserve">Date of entry:  </w:t>
      </w:r>
      <w:r>
        <w:rPr>
          <w:b w:val="0"/>
          <w:color w:val="222222"/>
          <w:sz w:val="22"/>
        </w:rPr>
        <w:t>________________________________________</w:t>
      </w:r>
    </w:p>
    <w:p>
      <w:r>
        <w:rPr>
          <w:b/>
          <w:color w:val="222222"/>
          <w:sz w:val="22"/>
        </w:rPr>
        <w:t xml:space="preserve">Time window (start and end, within your state's permitted entry hours):  </w:t>
      </w:r>
      <w:r>
        <w:rPr>
          <w:b w:val="0"/>
          <w:color w:val="222222"/>
          <w:sz w:val="22"/>
        </w:rPr>
        <w:t>________________________________________</w:t>
      </w:r>
    </w:p>
    <w:p>
      <w:pPr>
        <w:spacing w:before="160"/>
      </w:pPr>
      <w:r>
        <w:rPr>
          <w:b/>
          <w:color w:val="1C2B4A"/>
          <w:sz w:val="27"/>
        </w:rPr>
        <w:t>3. Purpose of Entry</w:t>
      </w:r>
    </w:p>
    <w:p>
      <w:r>
        <w:rPr>
          <w:b w:val="0"/>
          <w:color w:val="222222"/>
          <w:sz w:val="22"/>
        </w:rPr>
        <w:t>Be specific. A notice for one repair does not authorize a general walk-through, and a vague purpose invites a dispute.</w:t>
      </w:r>
    </w:p>
    <w:p>
      <w:r>
        <w:rPr>
          <w:b/>
          <w:color w:val="222222"/>
          <w:sz w:val="22"/>
        </w:rPr>
        <w:t xml:space="preserve">Specific purpose (repair named item / inspection type / showing, and who attends):  </w:t>
      </w:r>
      <w:r>
        <w:rPr>
          <w:b w:val="0"/>
          <w:color w:val="222222"/>
          <w:sz w:val="22"/>
        </w:rPr>
        <w:t>________________________________________</w:t>
      </w:r>
    </w:p>
    <w:p>
      <w:r>
        <w:rPr>
          <w:b/>
          <w:color w:val="222222"/>
          <w:sz w:val="22"/>
        </w:rPr>
        <w:t xml:space="preserve">Who will enter (landlord, manager, contractor or company name):  </w:t>
      </w:r>
      <w:r>
        <w:rPr>
          <w:b w:val="0"/>
          <w:color w:val="222222"/>
          <w:sz w:val="22"/>
        </w:rPr>
        <w:t>________________________________________</w:t>
      </w:r>
    </w:p>
    <w:p>
      <w:pPr>
        <w:spacing w:before="160"/>
      </w:pPr>
      <w:r>
        <w:rPr>
          <w:b/>
          <w:color w:val="1C2B4A"/>
          <w:sz w:val="27"/>
        </w:rPr>
        <w:t>4. Notice Period</w:t>
      </w:r>
    </w:p>
    <w:p>
      <w:r>
        <w:rPr>
          <w:b/>
          <w:color w:val="222222"/>
          <w:sz w:val="22"/>
        </w:rPr>
        <w:t xml:space="preserve">Notice given (number of hours or days in advance):  </w:t>
      </w:r>
      <w:r>
        <w:rPr>
          <w:b w:val="0"/>
          <w:color w:val="222222"/>
          <w:sz w:val="22"/>
        </w:rPr>
        <w:t>________________________________________</w:t>
      </w:r>
    </w:p>
    <w:p>
      <w:r>
        <w:rPr>
          <w:b/>
          <w:color w:val="222222"/>
          <w:sz w:val="22"/>
        </w:rPr>
        <w:t xml:space="preserve">Required by (state statute from the table below, or the lease section number):  </w:t>
      </w:r>
      <w:r>
        <w:rPr>
          <w:b w:val="0"/>
          <w:color w:val="222222"/>
          <w:sz w:val="22"/>
        </w:rPr>
        <w:t>________________________________________</w:t>
      </w:r>
    </w:p>
    <w:p>
      <w:pPr>
        <w:spacing w:before="160"/>
      </w:pPr>
      <w:r>
        <w:rPr>
          <w:b/>
          <w:color w:val="1C2B4A"/>
          <w:sz w:val="27"/>
        </w:rPr>
        <w:t>5. Scheduling Conflicts</w:t>
      </w:r>
    </w:p>
    <w:p>
      <w:r>
        <w:rPr>
          <w:b w:val="0"/>
          <w:color w:val="222222"/>
          <w:sz w:val="22"/>
        </w:rPr>
        <w:t>If the window presents a genuine conflict, the tenant should contact the landlord before the entry date to arrange a reasonable alternative. The tenant does not need to be present for the entry.</w:t>
      </w:r>
    </w:p>
    <w:p>
      <w:r>
        <w:rPr>
          <w:b/>
          <w:color w:val="222222"/>
          <w:sz w:val="22"/>
        </w:rPr>
        <w:t xml:space="preserve">Landlord contact for rescheduling (phone / email):  </w:t>
      </w:r>
      <w:r>
        <w:rPr>
          <w:b w:val="0"/>
          <w:color w:val="222222"/>
          <w:sz w:val="22"/>
        </w:rPr>
        <w:t>________________________________________</w:t>
      </w:r>
    </w:p>
    <w:p>
      <w:pPr>
        <w:spacing w:before="160"/>
      </w:pPr>
      <w:r>
        <w:rPr>
          <w:b/>
          <w:color w:val="1C2B4A"/>
          <w:sz w:val="27"/>
        </w:rPr>
        <w:t>6. Signature</w:t>
      </w:r>
    </w:p>
    <w:p>
      <w:r>
        <w:rPr>
          <w:b/>
          <w:color w:val="222222"/>
          <w:sz w:val="22"/>
        </w:rPr>
        <w:t xml:space="preserve">Landlord / agent signature:  </w:t>
      </w:r>
      <w:r>
        <w:rPr>
          <w:b w:val="0"/>
          <w:color w:val="222222"/>
          <w:sz w:val="22"/>
        </w:rPr>
        <w:t>________________________________________</w:t>
      </w:r>
    </w:p>
    <w:p>
      <w:r>
        <w:rPr>
          <w:b/>
          <w:color w:val="222222"/>
          <w:sz w:val="22"/>
        </w:rPr>
        <w:t xml:space="preserve">Printed name and date:  </w:t>
      </w:r>
      <w:r>
        <w:rPr>
          <w:b w:val="0"/>
          <w:color w:val="222222"/>
          <w:sz w:val="22"/>
        </w:rPr>
        <w:t>________________________________________</w:t>
      </w:r>
    </w:p>
    <w:p>
      <w:pPr>
        <w:spacing w:before="160"/>
      </w:pPr>
      <w:r>
        <w:rPr>
          <w:b/>
          <w:color w:val="1C2B4A"/>
          <w:sz w:val="27"/>
        </w:rPr>
        <w:t>7. Delivery Record</w:t>
      </w:r>
    </w:p>
    <w:p>
      <w:r>
        <w:rPr>
          <w:b/>
          <w:color w:val="222222"/>
          <w:sz w:val="22"/>
        </w:rPr>
        <w:t xml:space="preserve">Delivered on (date and time):  </w:t>
      </w:r>
      <w:r>
        <w:rPr>
          <w:b w:val="0"/>
          <w:color w:val="222222"/>
          <w:sz w:val="22"/>
        </w:rPr>
        <w:t>________________________________________</w:t>
      </w:r>
    </w:p>
    <w:p>
      <w:r>
        <w:rPr>
          <w:b/>
          <w:color w:val="222222"/>
          <w:sz w:val="22"/>
        </w:rPr>
        <w:t xml:space="preserve">Method (handed to tenant / posted on door / mailed / electronic channel the lease permits):  </w:t>
      </w:r>
      <w:r>
        <w:rPr>
          <w:b w:val="0"/>
          <w:color w:val="222222"/>
          <w:sz w:val="22"/>
        </w:rPr>
        <w:t>________________________________________</w:t>
      </w:r>
    </w:p>
    <w:p>
      <w:r>
        <w:rPr>
          <w:b/>
          <w:color w:val="222222"/>
          <w:sz w:val="22"/>
        </w:rPr>
        <w:t xml:space="preserve">Delivered by (name):  </w:t>
      </w:r>
      <w:r>
        <w:rPr>
          <w:b w:val="0"/>
          <w:color w:val="222222"/>
          <w:sz w:val="22"/>
        </w:rPr>
        <w:t>________________________________________</w:t>
      </w:r>
    </w:p>
    <w:p/>
    <w:p>
      <w:r>
        <w:rPr>
          <w:b/>
          <w:color w:val="222222"/>
          <w:sz w:val="22"/>
        </w:rPr>
        <w:t>STATE ENTRY-NOTICE PERIODS (VERIFIED JULY 2026)</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1C2B4A"/>
          </w:tcPr>
          <w:p>
            <w:r>
              <w:rPr>
                <w:b/>
                <w:color w:val="FFFFFF"/>
                <w:sz w:val="20"/>
              </w:rPr>
              <w:t>State</w:t>
            </w:r>
          </w:p>
        </w:tc>
        <w:tc>
          <w:tcPr>
            <w:tcW w:type="dxa" w:w="2160"/>
            <w:shd w:val="clear" w:fill="1C2B4A"/>
          </w:tcPr>
          <w:p>
            <w:r>
              <w:rPr>
                <w:b/>
                <w:color w:val="FFFFFF"/>
                <w:sz w:val="20"/>
              </w:rPr>
              <w:t>Required notice</w:t>
            </w:r>
          </w:p>
        </w:tc>
        <w:tc>
          <w:tcPr>
            <w:tcW w:type="dxa" w:w="2160"/>
            <w:shd w:val="clear" w:fill="1C2B4A"/>
          </w:tcPr>
          <w:p>
            <w:r>
              <w:rPr>
                <w:b/>
                <w:color w:val="FFFFFF"/>
                <w:sz w:val="20"/>
              </w:rPr>
              <w:t>Details</w:t>
            </w:r>
          </w:p>
        </w:tc>
        <w:tc>
          <w:tcPr>
            <w:tcW w:type="dxa" w:w="2160"/>
            <w:shd w:val="clear" w:fill="1C2B4A"/>
          </w:tcPr>
          <w:p>
            <w:r>
              <w:rPr>
                <w:b/>
                <w:color w:val="FFFFFF"/>
                <w:sz w:val="20"/>
              </w:rPr>
              <w:t>Statute</w:t>
            </w:r>
          </w:p>
        </w:tc>
      </w:tr>
      <w:tr>
        <w:tc>
          <w:tcPr>
            <w:tcW w:type="dxa" w:w="2160"/>
          </w:tcPr>
          <w:p>
            <w:r>
              <w:rPr>
                <w:b w:val="0"/>
                <w:color w:val="222222"/>
                <w:sz w:val="20"/>
              </w:rPr>
              <w:t>California</w:t>
            </w:r>
          </w:p>
        </w:tc>
        <w:tc>
          <w:tcPr>
            <w:tcW w:type="dxa" w:w="2160"/>
          </w:tcPr>
          <w:p>
            <w:r>
              <w:rPr>
                <w:b w:val="0"/>
                <w:color w:val="222222"/>
                <w:sz w:val="20"/>
              </w:rPr>
              <w:t>24 hours (written)</w:t>
            </w:r>
          </w:p>
        </w:tc>
        <w:tc>
          <w:tcPr>
            <w:tcW w:type="dxa" w:w="2160"/>
          </w:tcPr>
          <w:p>
            <w:r>
              <w:rPr>
                <w:b w:val="0"/>
                <w:color w:val="222222"/>
                <w:sz w:val="20"/>
              </w:rPr>
              <w:t>Presumed reasonable; oral notice allowed for sale showings after a written for-sale notice within 120 days</w:t>
            </w:r>
          </w:p>
        </w:tc>
        <w:tc>
          <w:tcPr>
            <w:tcW w:type="dxa" w:w="2160"/>
          </w:tcPr>
          <w:p>
            <w:r>
              <w:rPr>
                <w:b w:val="0"/>
                <w:color w:val="222222"/>
                <w:sz w:val="20"/>
              </w:rPr>
              <w:t>Civ. Code 1954</w:t>
            </w:r>
          </w:p>
        </w:tc>
      </w:tr>
      <w:tr>
        <w:tc>
          <w:tcPr>
            <w:tcW w:type="dxa" w:w="2160"/>
          </w:tcPr>
          <w:p>
            <w:r>
              <w:rPr>
                <w:b w:val="0"/>
                <w:color w:val="222222"/>
                <w:sz w:val="20"/>
              </w:rPr>
              <w:t>Oregon</w:t>
            </w:r>
          </w:p>
        </w:tc>
        <w:tc>
          <w:tcPr>
            <w:tcW w:type="dxa" w:w="2160"/>
          </w:tcPr>
          <w:p>
            <w:r>
              <w:rPr>
                <w:b w:val="0"/>
                <w:color w:val="222222"/>
                <w:sz w:val="20"/>
              </w:rPr>
              <w:t>24 hours</w:t>
            </w:r>
          </w:p>
        </w:tc>
        <w:tc>
          <w:tcPr>
            <w:tcW w:type="dxa" w:w="2160"/>
          </w:tcPr>
          <w:p>
            <w:r>
              <w:rPr>
                <w:b w:val="0"/>
                <w:color w:val="222222"/>
                <w:sz w:val="20"/>
              </w:rPr>
              <w:t>Actual notice of intent to enter</w:t>
            </w:r>
          </w:p>
        </w:tc>
        <w:tc>
          <w:tcPr>
            <w:tcW w:type="dxa" w:w="2160"/>
          </w:tcPr>
          <w:p>
            <w:r>
              <w:rPr>
                <w:b w:val="0"/>
                <w:color w:val="222222"/>
                <w:sz w:val="20"/>
              </w:rPr>
              <w:t>ORS 90.322</w:t>
            </w:r>
          </w:p>
        </w:tc>
      </w:tr>
      <w:tr>
        <w:tc>
          <w:tcPr>
            <w:tcW w:type="dxa" w:w="2160"/>
          </w:tcPr>
          <w:p>
            <w:r>
              <w:rPr>
                <w:b w:val="0"/>
                <w:color w:val="222222"/>
                <w:sz w:val="20"/>
              </w:rPr>
              <w:t>Florida</w:t>
            </w:r>
          </w:p>
        </w:tc>
        <w:tc>
          <w:tcPr>
            <w:tcW w:type="dxa" w:w="2160"/>
          </w:tcPr>
          <w:p>
            <w:r>
              <w:rPr>
                <w:b w:val="0"/>
                <w:color w:val="222222"/>
                <w:sz w:val="20"/>
              </w:rPr>
              <w:t>24 hours (repairs)</w:t>
            </w:r>
          </w:p>
        </w:tc>
        <w:tc>
          <w:tcPr>
            <w:tcW w:type="dxa" w:w="2160"/>
          </w:tcPr>
          <w:p>
            <w:r>
              <w:rPr>
                <w:b w:val="0"/>
                <w:color w:val="222222"/>
                <w:sz w:val="20"/>
              </w:rPr>
              <w:t>Entry between 7:30 a.m. and 8:00 p.m.</w:t>
            </w:r>
          </w:p>
        </w:tc>
        <w:tc>
          <w:tcPr>
            <w:tcW w:type="dxa" w:w="2160"/>
          </w:tcPr>
          <w:p>
            <w:r>
              <w:rPr>
                <w:b w:val="0"/>
                <w:color w:val="222222"/>
                <w:sz w:val="20"/>
              </w:rPr>
              <w:t>Fla. Stat. 83.53</w:t>
            </w:r>
          </w:p>
        </w:tc>
      </w:tr>
      <w:tr>
        <w:tc>
          <w:tcPr>
            <w:tcW w:type="dxa" w:w="2160"/>
          </w:tcPr>
          <w:p>
            <w:r>
              <w:rPr>
                <w:b w:val="0"/>
                <w:color w:val="222222"/>
                <w:sz w:val="20"/>
              </w:rPr>
              <w:t>Delaware</w:t>
            </w:r>
          </w:p>
        </w:tc>
        <w:tc>
          <w:tcPr>
            <w:tcW w:type="dxa" w:w="2160"/>
          </w:tcPr>
          <w:p>
            <w:r>
              <w:rPr>
                <w:b w:val="0"/>
                <w:color w:val="222222"/>
                <w:sz w:val="20"/>
              </w:rPr>
              <w:t>48 hours</w:t>
            </w:r>
          </w:p>
        </w:tc>
        <w:tc>
          <w:tcPr>
            <w:tcW w:type="dxa" w:w="2160"/>
          </w:tcPr>
          <w:p>
            <w:r>
              <w:rPr>
                <w:b w:val="0"/>
                <w:color w:val="222222"/>
                <w:sz w:val="20"/>
              </w:rPr>
              <w:t>Entry 8:00 a.m. to 9:00 p.m.; tenant-requested repairs excepted</w:t>
            </w:r>
          </w:p>
        </w:tc>
        <w:tc>
          <w:tcPr>
            <w:tcW w:type="dxa" w:w="2160"/>
          </w:tcPr>
          <w:p>
            <w:r>
              <w:rPr>
                <w:b w:val="0"/>
                <w:color w:val="222222"/>
                <w:sz w:val="20"/>
              </w:rPr>
              <w:t>25 Del. C. 5509</w:t>
            </w:r>
          </w:p>
        </w:tc>
      </w:tr>
      <w:tr>
        <w:tc>
          <w:tcPr>
            <w:tcW w:type="dxa" w:w="2160"/>
          </w:tcPr>
          <w:p>
            <w:r>
              <w:rPr>
                <w:b w:val="0"/>
                <w:color w:val="222222"/>
                <w:sz w:val="20"/>
              </w:rPr>
              <w:t>Virginia</w:t>
            </w:r>
          </w:p>
        </w:tc>
        <w:tc>
          <w:tcPr>
            <w:tcW w:type="dxa" w:w="2160"/>
          </w:tcPr>
          <w:p>
            <w:r>
              <w:rPr>
                <w:b w:val="0"/>
                <w:color w:val="222222"/>
                <w:sz w:val="20"/>
              </w:rPr>
              <w:t>72 hours (routine maintenance)</w:t>
            </w:r>
          </w:p>
        </w:tc>
        <w:tc>
          <w:tcPr>
            <w:tcW w:type="dxa" w:w="2160"/>
          </w:tcPr>
          <w:p>
            <w:r>
              <w:rPr>
                <w:b w:val="0"/>
                <w:color w:val="222222"/>
                <w:sz w:val="20"/>
              </w:rPr>
              <w:t>Maintenance the tenant did not request</w:t>
            </w:r>
          </w:p>
        </w:tc>
        <w:tc>
          <w:tcPr>
            <w:tcW w:type="dxa" w:w="2160"/>
          </w:tcPr>
          <w:p>
            <w:r>
              <w:rPr>
                <w:b w:val="0"/>
                <w:color w:val="222222"/>
                <w:sz w:val="20"/>
              </w:rPr>
              <w:t>Va. Code 55.1-1229</w:t>
            </w:r>
          </w:p>
        </w:tc>
      </w:tr>
      <w:tr>
        <w:tc>
          <w:tcPr>
            <w:tcW w:type="dxa" w:w="2160"/>
          </w:tcPr>
          <w:p>
            <w:r>
              <w:rPr>
                <w:b w:val="0"/>
                <w:color w:val="222222"/>
                <w:sz w:val="20"/>
              </w:rPr>
              <w:t>Washington</w:t>
            </w:r>
          </w:p>
        </w:tc>
        <w:tc>
          <w:tcPr>
            <w:tcW w:type="dxa" w:w="2160"/>
          </w:tcPr>
          <w:p>
            <w:r>
              <w:rPr>
                <w:b w:val="0"/>
                <w:color w:val="222222"/>
                <w:sz w:val="20"/>
              </w:rPr>
              <w:t>2 days (written)</w:t>
            </w:r>
          </w:p>
        </w:tc>
        <w:tc>
          <w:tcPr>
            <w:tcW w:type="dxa" w:w="2160"/>
          </w:tcPr>
          <w:p>
            <w:r>
              <w:rPr>
                <w:b w:val="0"/>
                <w:color w:val="222222"/>
                <w:sz w:val="20"/>
              </w:rPr>
              <w:t>1 day to show the unit to prospective tenants or buyers</w:t>
            </w:r>
          </w:p>
        </w:tc>
        <w:tc>
          <w:tcPr>
            <w:tcW w:type="dxa" w:w="2160"/>
          </w:tcPr>
          <w:p>
            <w:r>
              <w:rPr>
                <w:b w:val="0"/>
                <w:color w:val="222222"/>
                <w:sz w:val="20"/>
              </w:rPr>
              <w:t>RCW 59.18.150</w:t>
            </w:r>
          </w:p>
        </w:tc>
      </w:tr>
      <w:tr>
        <w:tc>
          <w:tcPr>
            <w:tcW w:type="dxa" w:w="2160"/>
          </w:tcPr>
          <w:p>
            <w:r>
              <w:rPr>
                <w:b w:val="0"/>
                <w:color w:val="222222"/>
                <w:sz w:val="20"/>
              </w:rPr>
              <w:t>Arizona</w:t>
            </w:r>
          </w:p>
        </w:tc>
        <w:tc>
          <w:tcPr>
            <w:tcW w:type="dxa" w:w="2160"/>
          </w:tcPr>
          <w:p>
            <w:r>
              <w:rPr>
                <w:b w:val="0"/>
                <w:color w:val="222222"/>
                <w:sz w:val="20"/>
              </w:rPr>
              <w:t>2 days</w:t>
            </w:r>
          </w:p>
        </w:tc>
        <w:tc>
          <w:tcPr>
            <w:tcW w:type="dxa" w:w="2160"/>
          </w:tcPr>
          <w:p>
            <w:r>
              <w:rPr>
                <w:b w:val="0"/>
                <w:color w:val="222222"/>
                <w:sz w:val="20"/>
              </w:rPr>
              <w:t>Entry only at reasonable times</w:t>
            </w:r>
          </w:p>
        </w:tc>
        <w:tc>
          <w:tcPr>
            <w:tcW w:type="dxa" w:w="2160"/>
          </w:tcPr>
          <w:p>
            <w:r>
              <w:rPr>
                <w:b w:val="0"/>
                <w:color w:val="222222"/>
                <w:sz w:val="20"/>
              </w:rPr>
              <w:t>A.R.S. 33-1343</w:t>
            </w:r>
          </w:p>
        </w:tc>
      </w:tr>
      <w:tr>
        <w:tc>
          <w:tcPr>
            <w:tcW w:type="dxa" w:w="2160"/>
          </w:tcPr>
          <w:p>
            <w:r>
              <w:rPr>
                <w:b w:val="0"/>
                <w:color w:val="222222"/>
                <w:sz w:val="20"/>
              </w:rPr>
              <w:t>Hawaii</w:t>
            </w:r>
          </w:p>
        </w:tc>
        <w:tc>
          <w:tcPr>
            <w:tcW w:type="dxa" w:w="2160"/>
          </w:tcPr>
          <w:p>
            <w:r>
              <w:rPr>
                <w:b w:val="0"/>
                <w:color w:val="222222"/>
                <w:sz w:val="20"/>
              </w:rPr>
              <w:t>2 days</w:t>
            </w:r>
          </w:p>
        </w:tc>
        <w:tc>
          <w:tcPr>
            <w:tcW w:type="dxa" w:w="2160"/>
          </w:tcPr>
          <w:p>
            <w:r>
              <w:rPr>
                <w:b w:val="0"/>
                <w:color w:val="222222"/>
                <w:sz w:val="20"/>
              </w:rPr>
              <w:t>Entry only during reasonable hours</w:t>
            </w:r>
          </w:p>
        </w:tc>
        <w:tc>
          <w:tcPr>
            <w:tcW w:type="dxa" w:w="2160"/>
          </w:tcPr>
          <w:p>
            <w:r>
              <w:rPr>
                <w:b w:val="0"/>
                <w:color w:val="222222"/>
                <w:sz w:val="20"/>
              </w:rPr>
              <w:t>HRS 521-53</w:t>
            </w:r>
          </w:p>
        </w:tc>
      </w:tr>
      <w:tr>
        <w:tc>
          <w:tcPr>
            <w:tcW w:type="dxa" w:w="2160"/>
          </w:tcPr>
          <w:p>
            <w:r>
              <w:rPr>
                <w:b w:val="0"/>
                <w:color w:val="222222"/>
                <w:sz w:val="20"/>
              </w:rPr>
              <w:t>Minnesota</w:t>
            </w:r>
          </w:p>
        </w:tc>
        <w:tc>
          <w:tcPr>
            <w:tcW w:type="dxa" w:w="2160"/>
          </w:tcPr>
          <w:p>
            <w:r>
              <w:rPr>
                <w:b w:val="0"/>
                <w:color w:val="222222"/>
                <w:sz w:val="20"/>
              </w:rPr>
              <w:t>Reasonable, at least 24 hours</w:t>
            </w:r>
          </w:p>
        </w:tc>
        <w:tc>
          <w:tcPr>
            <w:tcW w:type="dxa" w:w="2160"/>
          </w:tcPr>
          <w:p>
            <w:r>
              <w:rPr>
                <w:b w:val="0"/>
                <w:color w:val="222222"/>
                <w:sz w:val="20"/>
              </w:rPr>
              <w:t>Good-faith effort; entry 8:00 a.m. to 8:00 p.m. absent agreement</w:t>
            </w:r>
          </w:p>
        </w:tc>
        <w:tc>
          <w:tcPr>
            <w:tcW w:type="dxa" w:w="2160"/>
          </w:tcPr>
          <w:p>
            <w:r>
              <w:rPr>
                <w:b w:val="0"/>
                <w:color w:val="222222"/>
                <w:sz w:val="20"/>
              </w:rPr>
              <w:t>Minn. Stat. 504B.211</w:t>
            </w:r>
          </w:p>
        </w:tc>
      </w:tr>
      <w:tr>
        <w:tc>
          <w:tcPr>
            <w:tcW w:type="dxa" w:w="2160"/>
          </w:tcPr>
          <w:p>
            <w:r>
              <w:rPr>
                <w:b w:val="0"/>
                <w:color w:val="222222"/>
                <w:sz w:val="20"/>
              </w:rPr>
              <w:t>Kansas</w:t>
            </w:r>
          </w:p>
        </w:tc>
        <w:tc>
          <w:tcPr>
            <w:tcW w:type="dxa" w:w="2160"/>
          </w:tcPr>
          <w:p>
            <w:r>
              <w:rPr>
                <w:b w:val="0"/>
                <w:color w:val="222222"/>
                <w:sz w:val="20"/>
              </w:rPr>
              <w:t>Reasonable notice</w:t>
            </w:r>
          </w:p>
        </w:tc>
        <w:tc>
          <w:tcPr>
            <w:tcW w:type="dxa" w:w="2160"/>
          </w:tcPr>
          <w:p>
            <w:r>
              <w:rPr>
                <w:b w:val="0"/>
                <w:color w:val="222222"/>
                <w:sz w:val="20"/>
              </w:rPr>
              <w:t>No fixed number; reasonable hours</w:t>
            </w:r>
          </w:p>
        </w:tc>
        <w:tc>
          <w:tcPr>
            <w:tcW w:type="dxa" w:w="2160"/>
          </w:tcPr>
          <w:p>
            <w:r>
              <w:rPr>
                <w:b w:val="0"/>
                <w:color w:val="222222"/>
                <w:sz w:val="20"/>
              </w:rPr>
              <w:t>K.S.A. 58-2557</w:t>
            </w:r>
          </w:p>
        </w:tc>
      </w:tr>
      <w:tr>
        <w:tc>
          <w:tcPr>
            <w:tcW w:type="dxa" w:w="2160"/>
          </w:tcPr>
          <w:p>
            <w:r>
              <w:rPr>
                <w:b w:val="0"/>
                <w:color w:val="222222"/>
                <w:sz w:val="20"/>
              </w:rPr>
              <w:t>Massachusetts</w:t>
            </w:r>
          </w:p>
        </w:tc>
        <w:tc>
          <w:tcPr>
            <w:tcW w:type="dxa" w:w="2160"/>
          </w:tcPr>
          <w:p>
            <w:r>
              <w:rPr>
                <w:b w:val="0"/>
                <w:color w:val="222222"/>
                <w:sz w:val="20"/>
              </w:rPr>
              <w:t>No statutory period</w:t>
            </w:r>
          </w:p>
        </w:tc>
        <w:tc>
          <w:tcPr>
            <w:tcW w:type="dxa" w:w="2160"/>
          </w:tcPr>
          <w:p>
            <w:r>
              <w:rPr>
                <w:b w:val="0"/>
                <w:color w:val="222222"/>
                <w:sz w:val="20"/>
              </w:rPr>
              <w:t>Entry purposes limited (inspection, repairs, showings); lease controls timing</w:t>
            </w:r>
          </w:p>
        </w:tc>
        <w:tc>
          <w:tcPr>
            <w:tcW w:type="dxa" w:w="2160"/>
          </w:tcPr>
          <w:p>
            <w:r>
              <w:rPr>
                <w:b w:val="0"/>
                <w:color w:val="222222"/>
                <w:sz w:val="20"/>
              </w:rPr>
              <w:t>M.G.L. c. 186, 15B</w:t>
            </w:r>
          </w:p>
        </w:tc>
      </w:tr>
      <w:tr>
        <w:tc>
          <w:tcPr>
            <w:tcW w:type="dxa" w:w="2160"/>
          </w:tcPr>
          <w:p>
            <w:r>
              <w:rPr>
                <w:b w:val="0"/>
                <w:color w:val="222222"/>
                <w:sz w:val="20"/>
              </w:rPr>
              <w:t>Texas</w:t>
            </w:r>
          </w:p>
        </w:tc>
        <w:tc>
          <w:tcPr>
            <w:tcW w:type="dxa" w:w="2160"/>
          </w:tcPr>
          <w:p>
            <w:r>
              <w:rPr>
                <w:b w:val="0"/>
                <w:color w:val="222222"/>
                <w:sz w:val="20"/>
              </w:rPr>
              <w:t>No statutory period</w:t>
            </w:r>
          </w:p>
        </w:tc>
        <w:tc>
          <w:tcPr>
            <w:tcW w:type="dxa" w:w="2160"/>
          </w:tcPr>
          <w:p>
            <w:r>
              <w:rPr>
                <w:b w:val="0"/>
                <w:color w:val="222222"/>
                <w:sz w:val="20"/>
              </w:rPr>
              <w:t>No entry statute; the lease governs</w:t>
            </w:r>
          </w:p>
        </w:tc>
        <w:tc>
          <w:tcPr>
            <w:tcW w:type="dxa" w:w="2160"/>
          </w:tcPr>
          <w:p>
            <w:r>
              <w:rPr>
                <w:b w:val="0"/>
                <w:color w:val="222222"/>
                <w:sz w:val="20"/>
              </w:rPr>
              <w:t>Tex. courts / lease</w:t>
            </w:r>
          </w:p>
        </w:tc>
      </w:tr>
    </w:tbl>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This form is general information, not legal advice. Twelve jurisdictions are shown, chosen to cover the four regimes American entry law uses: fixed notice periods, reasonable-notice standards, and states with no entry statute where the lease controls; if your state is not listed, it follows one of these patterns, so check your statute or your lease's entry clause. Count the notice period from delivery, respect statutory entry hours where they exist, and keep the completed delivery record with the lease file. Every entry statute allows unannounced entry in a genuine emergency; after one, send the tenant a same-day written explanation. Arizona and Delaware expressly forbid using access rights to harass a tenant, and courts elsewhere read repeated, pretextual entries the same way. Full guide and official sources: clearlegaltips.com/notice-to-enter-template/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