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100"/>
      </w:pPr>
      <w:r>
        <w:rPr>
          <w:b/>
          <w:color w:val="1C2B4A"/>
          <w:sz w:val="40"/>
        </w:rPr>
        <w:t>Landlord-Tenant Law State Compliance Table</w:t>
      </w:r>
    </w:p>
    <w:p>
      <w:pPr>
        <w:spacing w:after="200"/>
        <w:pBdr>
          <w:bottom w:val="single" w:sz="12" w:space="2" w:color="C9A23A"/>
        </w:pBdr>
      </w:pPr>
      <w:r>
        <w:rPr>
          <w:b/>
          <w:color w:val="1C2B4A"/>
          <w:sz w:val="26"/>
        </w:rPr>
        <w:t>Deposit Caps, Return Deadlines, Notice Periods &amp; Entry Rules — ClearLegalTips.com (2026)</w:t>
      </w:r>
    </w:p>
    <w:p/>
    <w:p>
      <w:pPr>
        <w:spacing w:after="80"/>
      </w:pPr>
      <w:r>
        <w:rPr>
          <w:b w:val="0"/>
          <w:color w:val="111111"/>
          <w:sz w:val="22"/>
        </w:rPr>
        <w:t>Landlord-tenant law is a federal floor with fifty different ceilings on top of it. The figures that cause the most disputes — how large a deposit can be, how fast it must be returned, how much notice before entry or eviction — are set state by state. Use the tables below as a starting map, then confirm the current figure with your state, because legislatures change these and cities are often stricter.</w:t>
      </w:r>
    </w:p>
    <w:p/>
    <w:p>
      <w:pPr>
        <w:spacing w:before="220"/>
      </w:pPr>
      <w:r>
        <w:rPr>
          <w:b/>
          <w:color w:val="1C2B4A"/>
          <w:sz w:val="27"/>
        </w:rPr>
        <w:t>Federal Floor (Applies in Every State)</w:t>
      </w:r>
    </w:p>
    <w:p>
      <w:pPr>
        <w:ind w:left="360"/>
      </w:pPr>
      <w:r>
        <w:rPr>
          <w:b w:val="0"/>
          <w:color w:val="111111"/>
          <w:sz w:val="22"/>
        </w:rPr>
        <w:t>•  Fair Housing Act: bans discrimination on seven protected grounds — race, color, national origin, religion, sex, familial status, and disability — and requires reasonable accommodations (including assistance animals not charged as pets).</w:t>
      </w:r>
    </w:p>
    <w:p>
      <w:pPr>
        <w:ind w:left="360"/>
      </w:pPr>
      <w:r>
        <w:rPr>
          <w:b w:val="0"/>
          <w:color w:val="111111"/>
          <w:sz w:val="22"/>
        </w:rPr>
        <w:t>•  Lead-based paint disclosure: required for any home built before 1978, along with the EPA pamphlet.</w:t>
      </w:r>
    </w:p>
    <w:p>
      <w:pPr>
        <w:ind w:left="360"/>
      </w:pPr>
      <w:r>
        <w:rPr>
          <w:b w:val="0"/>
          <w:color w:val="111111"/>
          <w:sz w:val="22"/>
        </w:rPr>
        <w:t>•  Implied warranty of habitability: every residential lease carries it; the tenant cannot waive it, even in writing.</w:t>
      </w:r>
    </w:p>
    <w:p>
      <w:pPr>
        <w:ind w:left="360"/>
      </w:pPr>
      <w:r>
        <w:rPr>
          <w:b w:val="0"/>
          <w:color w:val="111111"/>
          <w:sz w:val="22"/>
        </w:rPr>
        <w:t>•  Self-help eviction is illegal everywhere: no lockouts, removing belongings, or shutting off utilities.</w:t>
      </w:r>
    </w:p>
    <w:p>
      <w:pPr>
        <w:spacing w:after="80"/>
      </w:pPr>
      <w:r>
        <w:rPr>
          <w:b w:val="0"/>
          <w:color w:val="111111"/>
          <w:sz w:val="22"/>
        </w:rPr>
        <w:t>When a lease term conflicts with the law, the law wins. A clause that gives the tenant less than the law requires is void. A city can add stricter rules on top (rent control, longer notice, deposit interest).</w:t>
      </w:r>
    </w:p>
    <w:p/>
    <w:p>
      <w:pPr>
        <w:spacing w:before="220"/>
      </w:pPr>
      <w:r>
        <w:rPr>
          <w:b/>
          <w:color w:val="1C2B4A"/>
          <w:sz w:val="27"/>
        </w:rPr>
        <w:t>Table 1 — Deposits and Nonpayment Notice by State</w:t>
      </w:r>
    </w:p>
    <w:tbl>
      <w:tblPr>
        <w:tblStyle w:val="TableGrid"/>
        <w:tblW w:type="auto" w:w="0"/>
        <w:tblLook w:firstColumn="1" w:firstRow="1" w:lastColumn="0" w:lastRow="0" w:noHBand="0" w:noVBand="1" w:val="04A0"/>
      </w:tblPr>
      <w:tblGrid>
        <w:gridCol w:w="2160"/>
        <w:gridCol w:w="2160"/>
        <w:gridCol w:w="2160"/>
        <w:gridCol w:w="2160"/>
      </w:tblGrid>
      <w:tr>
        <w:tc>
          <w:tcPr>
            <w:tcW w:type="dxa" w:w="2160"/>
            <w:shd w:val="clear" w:fill="1C2B4A"/>
          </w:tcPr>
          <w:p>
            <w:r>
              <w:rPr>
                <w:b/>
                <w:color w:val="FFFFFF"/>
                <w:sz w:val="20"/>
              </w:rPr>
              <w:t>State</w:t>
            </w:r>
          </w:p>
        </w:tc>
        <w:tc>
          <w:tcPr>
            <w:tcW w:type="dxa" w:w="2160"/>
            <w:shd w:val="clear" w:fill="1C2B4A"/>
          </w:tcPr>
          <w:p>
            <w:r>
              <w:rPr>
                <w:b/>
                <w:color w:val="FFFFFF"/>
                <w:sz w:val="20"/>
              </w:rPr>
              <w:t>Deposit cap</w:t>
            </w:r>
          </w:p>
        </w:tc>
        <w:tc>
          <w:tcPr>
            <w:tcW w:type="dxa" w:w="2160"/>
            <w:shd w:val="clear" w:fill="1C2B4A"/>
          </w:tcPr>
          <w:p>
            <w:r>
              <w:rPr>
                <w:b/>
                <w:color w:val="FFFFFF"/>
                <w:sz w:val="20"/>
              </w:rPr>
              <w:t>Return deadline</w:t>
            </w:r>
          </w:p>
        </w:tc>
        <w:tc>
          <w:tcPr>
            <w:tcW w:type="dxa" w:w="2160"/>
            <w:shd w:val="clear" w:fill="1C2B4A"/>
          </w:tcPr>
          <w:p>
            <w:r>
              <w:rPr>
                <w:b/>
                <w:color w:val="FFFFFF"/>
                <w:sz w:val="20"/>
              </w:rPr>
              <w:t>Nonpayment notice</w:t>
            </w:r>
          </w:p>
        </w:tc>
      </w:tr>
      <w:tr>
        <w:tc>
          <w:tcPr>
            <w:tcW w:type="dxa" w:w="2160"/>
          </w:tcPr>
          <w:p>
            <w:r>
              <w:rPr>
                <w:b w:val="0"/>
                <w:color w:val="111111"/>
                <w:sz w:val="20"/>
              </w:rPr>
              <w:t>California</w:t>
            </w:r>
          </w:p>
        </w:tc>
        <w:tc>
          <w:tcPr>
            <w:tcW w:type="dxa" w:w="2160"/>
          </w:tcPr>
          <w:p>
            <w:r>
              <w:rPr>
                <w:b w:val="0"/>
                <w:color w:val="111111"/>
                <w:sz w:val="20"/>
              </w:rPr>
              <w:t>1 month's rent</w:t>
            </w:r>
          </w:p>
        </w:tc>
        <w:tc>
          <w:tcPr>
            <w:tcW w:type="dxa" w:w="2160"/>
          </w:tcPr>
          <w:p>
            <w:r>
              <w:rPr>
                <w:b w:val="0"/>
                <w:color w:val="111111"/>
                <w:sz w:val="20"/>
              </w:rPr>
              <w:t>21 days</w:t>
            </w:r>
          </w:p>
        </w:tc>
        <w:tc>
          <w:tcPr>
            <w:tcW w:type="dxa" w:w="2160"/>
          </w:tcPr>
          <w:p>
            <w:r>
              <w:rPr>
                <w:b w:val="0"/>
                <w:color w:val="111111"/>
                <w:sz w:val="20"/>
              </w:rPr>
              <w:t>3 days</w:t>
            </w:r>
          </w:p>
        </w:tc>
      </w:tr>
      <w:tr>
        <w:tc>
          <w:tcPr>
            <w:tcW w:type="dxa" w:w="2160"/>
          </w:tcPr>
          <w:p>
            <w:r>
              <w:rPr>
                <w:b w:val="0"/>
                <w:color w:val="111111"/>
                <w:sz w:val="20"/>
              </w:rPr>
              <w:t>Texas</w:t>
            </w:r>
          </w:p>
        </w:tc>
        <w:tc>
          <w:tcPr>
            <w:tcW w:type="dxa" w:w="2160"/>
          </w:tcPr>
          <w:p>
            <w:r>
              <w:rPr>
                <w:b w:val="0"/>
                <w:color w:val="111111"/>
                <w:sz w:val="20"/>
              </w:rPr>
              <w:t>No statutory cap</w:t>
            </w:r>
          </w:p>
        </w:tc>
        <w:tc>
          <w:tcPr>
            <w:tcW w:type="dxa" w:w="2160"/>
          </w:tcPr>
          <w:p>
            <w:r>
              <w:rPr>
                <w:b w:val="0"/>
                <w:color w:val="111111"/>
                <w:sz w:val="20"/>
              </w:rPr>
              <w:t>30 days</w:t>
            </w:r>
          </w:p>
        </w:tc>
        <w:tc>
          <w:tcPr>
            <w:tcW w:type="dxa" w:w="2160"/>
          </w:tcPr>
          <w:p>
            <w:r>
              <w:rPr>
                <w:b w:val="0"/>
                <w:color w:val="111111"/>
                <w:sz w:val="20"/>
              </w:rPr>
              <w:t>3 days</w:t>
            </w:r>
          </w:p>
        </w:tc>
      </w:tr>
      <w:tr>
        <w:tc>
          <w:tcPr>
            <w:tcW w:type="dxa" w:w="2160"/>
          </w:tcPr>
          <w:p>
            <w:r>
              <w:rPr>
                <w:b w:val="0"/>
                <w:color w:val="111111"/>
                <w:sz w:val="20"/>
              </w:rPr>
              <w:t>New York</w:t>
            </w:r>
          </w:p>
        </w:tc>
        <w:tc>
          <w:tcPr>
            <w:tcW w:type="dxa" w:w="2160"/>
          </w:tcPr>
          <w:p>
            <w:r>
              <w:rPr>
                <w:b w:val="0"/>
                <w:color w:val="111111"/>
                <w:sz w:val="20"/>
              </w:rPr>
              <w:t>1 month's rent</w:t>
            </w:r>
          </w:p>
        </w:tc>
        <w:tc>
          <w:tcPr>
            <w:tcW w:type="dxa" w:w="2160"/>
          </w:tcPr>
          <w:p>
            <w:r>
              <w:rPr>
                <w:b w:val="0"/>
                <w:color w:val="111111"/>
                <w:sz w:val="20"/>
              </w:rPr>
              <w:t>14 days</w:t>
            </w:r>
          </w:p>
        </w:tc>
        <w:tc>
          <w:tcPr>
            <w:tcW w:type="dxa" w:w="2160"/>
          </w:tcPr>
          <w:p>
            <w:r>
              <w:rPr>
                <w:b w:val="0"/>
                <w:color w:val="111111"/>
                <w:sz w:val="20"/>
              </w:rPr>
              <w:t>14 days</w:t>
            </w:r>
          </w:p>
        </w:tc>
      </w:tr>
      <w:tr>
        <w:tc>
          <w:tcPr>
            <w:tcW w:type="dxa" w:w="2160"/>
          </w:tcPr>
          <w:p>
            <w:r>
              <w:rPr>
                <w:b w:val="0"/>
                <w:color w:val="111111"/>
                <w:sz w:val="20"/>
              </w:rPr>
              <w:t>Florida</w:t>
            </w:r>
          </w:p>
        </w:tc>
        <w:tc>
          <w:tcPr>
            <w:tcW w:type="dxa" w:w="2160"/>
          </w:tcPr>
          <w:p>
            <w:r>
              <w:rPr>
                <w:b w:val="0"/>
                <w:color w:val="111111"/>
                <w:sz w:val="20"/>
              </w:rPr>
              <w:t>No statutory cap</w:t>
            </w:r>
          </w:p>
        </w:tc>
        <w:tc>
          <w:tcPr>
            <w:tcW w:type="dxa" w:w="2160"/>
          </w:tcPr>
          <w:p>
            <w:r>
              <w:rPr>
                <w:b w:val="0"/>
                <w:color w:val="111111"/>
                <w:sz w:val="20"/>
              </w:rPr>
              <w:t>15 days (no claim) / 30 (with claim)</w:t>
            </w:r>
          </w:p>
        </w:tc>
        <w:tc>
          <w:tcPr>
            <w:tcW w:type="dxa" w:w="2160"/>
          </w:tcPr>
          <w:p>
            <w:r>
              <w:rPr>
                <w:b w:val="0"/>
                <w:color w:val="111111"/>
                <w:sz w:val="20"/>
              </w:rPr>
              <w:t>3 days</w:t>
            </w:r>
          </w:p>
        </w:tc>
      </w:tr>
      <w:tr>
        <w:tc>
          <w:tcPr>
            <w:tcW w:type="dxa" w:w="2160"/>
          </w:tcPr>
          <w:p>
            <w:r>
              <w:rPr>
                <w:b w:val="0"/>
                <w:color w:val="111111"/>
                <w:sz w:val="20"/>
              </w:rPr>
              <w:t>Illinois</w:t>
            </w:r>
          </w:p>
        </w:tc>
        <w:tc>
          <w:tcPr>
            <w:tcW w:type="dxa" w:w="2160"/>
          </w:tcPr>
          <w:p>
            <w:r>
              <w:rPr>
                <w:b w:val="0"/>
                <w:color w:val="111111"/>
                <w:sz w:val="20"/>
              </w:rPr>
              <w:t>No state cap (Chicago rules apply)</w:t>
            </w:r>
          </w:p>
        </w:tc>
        <w:tc>
          <w:tcPr>
            <w:tcW w:type="dxa" w:w="2160"/>
          </w:tcPr>
          <w:p>
            <w:r>
              <w:rPr>
                <w:b w:val="0"/>
                <w:color w:val="111111"/>
                <w:sz w:val="20"/>
              </w:rPr>
              <w:t>30–45 days</w:t>
            </w:r>
          </w:p>
        </w:tc>
        <w:tc>
          <w:tcPr>
            <w:tcW w:type="dxa" w:w="2160"/>
          </w:tcPr>
          <w:p>
            <w:r>
              <w:rPr>
                <w:b w:val="0"/>
                <w:color w:val="111111"/>
                <w:sz w:val="20"/>
              </w:rPr>
              <w:t>5 days</w:t>
            </w:r>
          </w:p>
        </w:tc>
      </w:tr>
      <w:tr>
        <w:tc>
          <w:tcPr>
            <w:tcW w:type="dxa" w:w="2160"/>
          </w:tcPr>
          <w:p>
            <w:r>
              <w:rPr>
                <w:b w:val="0"/>
                <w:color w:val="111111"/>
                <w:sz w:val="20"/>
              </w:rPr>
              <w:t>Washington</w:t>
            </w:r>
          </w:p>
        </w:tc>
        <w:tc>
          <w:tcPr>
            <w:tcW w:type="dxa" w:w="2160"/>
          </w:tcPr>
          <w:p>
            <w:r>
              <w:rPr>
                <w:b w:val="0"/>
                <w:color w:val="111111"/>
                <w:sz w:val="20"/>
              </w:rPr>
              <w:t>No statutory cap</w:t>
            </w:r>
          </w:p>
        </w:tc>
        <w:tc>
          <w:tcPr>
            <w:tcW w:type="dxa" w:w="2160"/>
          </w:tcPr>
          <w:p>
            <w:r>
              <w:rPr>
                <w:b w:val="0"/>
                <w:color w:val="111111"/>
                <w:sz w:val="20"/>
              </w:rPr>
              <w:t>30 days</w:t>
            </w:r>
          </w:p>
        </w:tc>
        <w:tc>
          <w:tcPr>
            <w:tcW w:type="dxa" w:w="2160"/>
          </w:tcPr>
          <w:p>
            <w:r>
              <w:rPr>
                <w:b w:val="0"/>
                <w:color w:val="111111"/>
                <w:sz w:val="20"/>
              </w:rPr>
              <w:t>14 days</w:t>
            </w:r>
          </w:p>
        </w:tc>
      </w:tr>
      <w:tr>
        <w:tc>
          <w:tcPr>
            <w:tcW w:type="dxa" w:w="2160"/>
          </w:tcPr>
          <w:p>
            <w:r>
              <w:rPr>
                <w:b w:val="0"/>
                <w:color w:val="111111"/>
                <w:sz w:val="20"/>
              </w:rPr>
              <w:t>Massachusetts</w:t>
            </w:r>
          </w:p>
        </w:tc>
        <w:tc>
          <w:tcPr>
            <w:tcW w:type="dxa" w:w="2160"/>
          </w:tcPr>
          <w:p>
            <w:r>
              <w:rPr>
                <w:b w:val="0"/>
                <w:color w:val="111111"/>
                <w:sz w:val="20"/>
              </w:rPr>
              <w:t>1 month's rent</w:t>
            </w:r>
          </w:p>
        </w:tc>
        <w:tc>
          <w:tcPr>
            <w:tcW w:type="dxa" w:w="2160"/>
          </w:tcPr>
          <w:p>
            <w:r>
              <w:rPr>
                <w:b w:val="0"/>
                <w:color w:val="111111"/>
                <w:sz w:val="20"/>
              </w:rPr>
              <w:t>30 days</w:t>
            </w:r>
          </w:p>
        </w:tc>
        <w:tc>
          <w:tcPr>
            <w:tcW w:type="dxa" w:w="2160"/>
          </w:tcPr>
          <w:p>
            <w:r>
              <w:rPr>
                <w:b w:val="0"/>
                <w:color w:val="111111"/>
                <w:sz w:val="20"/>
              </w:rPr>
              <w:t>14 days</w:t>
            </w:r>
          </w:p>
        </w:tc>
      </w:tr>
      <w:tr>
        <w:tc>
          <w:tcPr>
            <w:tcW w:type="dxa" w:w="2160"/>
          </w:tcPr>
          <w:p>
            <w:r>
              <w:rPr>
                <w:b w:val="0"/>
                <w:color w:val="111111"/>
                <w:sz w:val="20"/>
              </w:rPr>
              <w:t>Colorado</w:t>
            </w:r>
          </w:p>
        </w:tc>
        <w:tc>
          <w:tcPr>
            <w:tcW w:type="dxa" w:w="2160"/>
          </w:tcPr>
          <w:p>
            <w:r>
              <w:rPr>
                <w:b w:val="0"/>
                <w:color w:val="111111"/>
                <w:sz w:val="20"/>
              </w:rPr>
              <w:t>No cap (1 month if lease is silent)</w:t>
            </w:r>
          </w:p>
        </w:tc>
        <w:tc>
          <w:tcPr>
            <w:tcW w:type="dxa" w:w="2160"/>
          </w:tcPr>
          <w:p>
            <w:r>
              <w:rPr>
                <w:b w:val="0"/>
                <w:color w:val="111111"/>
                <w:sz w:val="20"/>
              </w:rPr>
              <w:t>1 month (up to 60 by lease)</w:t>
            </w:r>
          </w:p>
        </w:tc>
        <w:tc>
          <w:tcPr>
            <w:tcW w:type="dxa" w:w="2160"/>
          </w:tcPr>
          <w:p>
            <w:r>
              <w:rPr>
                <w:b w:val="0"/>
                <w:color w:val="111111"/>
                <w:sz w:val="20"/>
              </w:rPr>
              <w:t>10 days</w:t>
            </w:r>
          </w:p>
        </w:tc>
      </w:tr>
      <w:tr>
        <w:tc>
          <w:tcPr>
            <w:tcW w:type="dxa" w:w="2160"/>
          </w:tcPr>
          <w:p>
            <w:r>
              <w:rPr>
                <w:b w:val="0"/>
                <w:color w:val="111111"/>
                <w:sz w:val="20"/>
              </w:rPr>
              <w:t>Georgia</w:t>
            </w:r>
          </w:p>
        </w:tc>
        <w:tc>
          <w:tcPr>
            <w:tcW w:type="dxa" w:w="2160"/>
          </w:tcPr>
          <w:p>
            <w:r>
              <w:rPr>
                <w:b w:val="0"/>
                <w:color w:val="111111"/>
                <w:sz w:val="20"/>
              </w:rPr>
              <w:t>No statutory cap</w:t>
            </w:r>
          </w:p>
        </w:tc>
        <w:tc>
          <w:tcPr>
            <w:tcW w:type="dxa" w:w="2160"/>
          </w:tcPr>
          <w:p>
            <w:r>
              <w:rPr>
                <w:b w:val="0"/>
                <w:color w:val="111111"/>
                <w:sz w:val="20"/>
              </w:rPr>
              <w:t>30 days</w:t>
            </w:r>
          </w:p>
        </w:tc>
        <w:tc>
          <w:tcPr>
            <w:tcW w:type="dxa" w:w="2160"/>
          </w:tcPr>
          <w:p>
            <w:r>
              <w:rPr>
                <w:b w:val="0"/>
                <w:color w:val="111111"/>
                <w:sz w:val="20"/>
              </w:rPr>
              <w:t>3 business days</w:t>
            </w:r>
          </w:p>
        </w:tc>
      </w:tr>
      <w:tr>
        <w:tc>
          <w:tcPr>
            <w:tcW w:type="dxa" w:w="2160"/>
          </w:tcPr>
          <w:p>
            <w:r>
              <w:rPr>
                <w:b w:val="0"/>
                <w:color w:val="111111"/>
                <w:sz w:val="20"/>
              </w:rPr>
              <w:t>Ohio</w:t>
            </w:r>
          </w:p>
        </w:tc>
        <w:tc>
          <w:tcPr>
            <w:tcW w:type="dxa" w:w="2160"/>
          </w:tcPr>
          <w:p>
            <w:r>
              <w:rPr>
                <w:b w:val="0"/>
                <w:color w:val="111111"/>
                <w:sz w:val="20"/>
              </w:rPr>
              <w:t>No statutory cap</w:t>
            </w:r>
          </w:p>
        </w:tc>
        <w:tc>
          <w:tcPr>
            <w:tcW w:type="dxa" w:w="2160"/>
          </w:tcPr>
          <w:p>
            <w:r>
              <w:rPr>
                <w:b w:val="0"/>
                <w:color w:val="111111"/>
                <w:sz w:val="20"/>
              </w:rPr>
              <w:t>30 days</w:t>
            </w:r>
          </w:p>
        </w:tc>
        <w:tc>
          <w:tcPr>
            <w:tcW w:type="dxa" w:w="2160"/>
          </w:tcPr>
          <w:p>
            <w:r>
              <w:rPr>
                <w:b w:val="0"/>
                <w:color w:val="111111"/>
                <w:sz w:val="20"/>
              </w:rPr>
              <w:t>3 days</w:t>
            </w:r>
          </w:p>
        </w:tc>
      </w:tr>
      <w:tr>
        <w:tc>
          <w:tcPr>
            <w:tcW w:type="dxa" w:w="2160"/>
          </w:tcPr>
          <w:p>
            <w:r>
              <w:rPr>
                <w:b w:val="0"/>
                <w:color w:val="111111"/>
                <w:sz w:val="20"/>
              </w:rPr>
              <w:t>Pennsylvania</w:t>
            </w:r>
          </w:p>
        </w:tc>
        <w:tc>
          <w:tcPr>
            <w:tcW w:type="dxa" w:w="2160"/>
          </w:tcPr>
          <w:p>
            <w:r>
              <w:rPr>
                <w:b w:val="0"/>
                <w:color w:val="111111"/>
                <w:sz w:val="20"/>
              </w:rPr>
              <w:t>2 months (first year)</w:t>
            </w:r>
          </w:p>
        </w:tc>
        <w:tc>
          <w:tcPr>
            <w:tcW w:type="dxa" w:w="2160"/>
          </w:tcPr>
          <w:p>
            <w:r>
              <w:rPr>
                <w:b w:val="0"/>
                <w:color w:val="111111"/>
                <w:sz w:val="20"/>
              </w:rPr>
              <w:t>30 days</w:t>
            </w:r>
          </w:p>
        </w:tc>
        <w:tc>
          <w:tcPr>
            <w:tcW w:type="dxa" w:w="2160"/>
          </w:tcPr>
          <w:p>
            <w:r>
              <w:rPr>
                <w:b w:val="0"/>
                <w:color w:val="111111"/>
                <w:sz w:val="20"/>
              </w:rPr>
              <w:t>10 days</w:t>
            </w:r>
          </w:p>
        </w:tc>
      </w:tr>
      <w:tr>
        <w:tc>
          <w:tcPr>
            <w:tcW w:type="dxa" w:w="2160"/>
          </w:tcPr>
          <w:p>
            <w:r>
              <w:rPr>
                <w:b w:val="0"/>
                <w:color w:val="111111"/>
                <w:sz w:val="20"/>
              </w:rPr>
              <w:t>Arizona</w:t>
            </w:r>
          </w:p>
        </w:tc>
        <w:tc>
          <w:tcPr>
            <w:tcW w:type="dxa" w:w="2160"/>
          </w:tcPr>
          <w:p>
            <w:r>
              <w:rPr>
                <w:b w:val="0"/>
                <w:color w:val="111111"/>
                <w:sz w:val="20"/>
              </w:rPr>
              <w:t>1.5 months' rent</w:t>
            </w:r>
          </w:p>
        </w:tc>
        <w:tc>
          <w:tcPr>
            <w:tcW w:type="dxa" w:w="2160"/>
          </w:tcPr>
          <w:p>
            <w:r>
              <w:rPr>
                <w:b w:val="0"/>
                <w:color w:val="111111"/>
                <w:sz w:val="20"/>
              </w:rPr>
              <w:t>14 business days</w:t>
            </w:r>
          </w:p>
        </w:tc>
        <w:tc>
          <w:tcPr>
            <w:tcW w:type="dxa" w:w="2160"/>
          </w:tcPr>
          <w:p>
            <w:r>
              <w:rPr>
                <w:b w:val="0"/>
                <w:color w:val="111111"/>
                <w:sz w:val="20"/>
              </w:rPr>
              <w:t>5 days</w:t>
            </w:r>
          </w:p>
        </w:tc>
      </w:tr>
      <w:tr>
        <w:tc>
          <w:tcPr>
            <w:tcW w:type="dxa" w:w="2160"/>
          </w:tcPr>
          <w:p>
            <w:r>
              <w:rPr>
                <w:b w:val="0"/>
                <w:color w:val="111111"/>
                <w:sz w:val="20"/>
              </w:rPr>
              <w:t>North Carolina</w:t>
            </w:r>
          </w:p>
        </w:tc>
        <w:tc>
          <w:tcPr>
            <w:tcW w:type="dxa" w:w="2160"/>
          </w:tcPr>
          <w:p>
            <w:r>
              <w:rPr>
                <w:b w:val="0"/>
                <w:color w:val="111111"/>
                <w:sz w:val="20"/>
              </w:rPr>
              <w:t>Up to 2 months</w:t>
            </w:r>
          </w:p>
        </w:tc>
        <w:tc>
          <w:tcPr>
            <w:tcW w:type="dxa" w:w="2160"/>
          </w:tcPr>
          <w:p>
            <w:r>
              <w:rPr>
                <w:b w:val="0"/>
                <w:color w:val="111111"/>
                <w:sz w:val="20"/>
              </w:rPr>
              <w:t>30 days</w:t>
            </w:r>
          </w:p>
        </w:tc>
        <w:tc>
          <w:tcPr>
            <w:tcW w:type="dxa" w:w="2160"/>
          </w:tcPr>
          <w:p>
            <w:r>
              <w:rPr>
                <w:b w:val="0"/>
                <w:color w:val="111111"/>
                <w:sz w:val="20"/>
              </w:rPr>
              <w:t>10 days</w:t>
            </w:r>
          </w:p>
        </w:tc>
      </w:tr>
      <w:tr>
        <w:tc>
          <w:tcPr>
            <w:tcW w:type="dxa" w:w="2160"/>
          </w:tcPr>
          <w:p>
            <w:r>
              <w:rPr>
                <w:b w:val="0"/>
                <w:color w:val="111111"/>
                <w:sz w:val="20"/>
              </w:rPr>
              <w:t>New Jersey</w:t>
            </w:r>
          </w:p>
        </w:tc>
        <w:tc>
          <w:tcPr>
            <w:tcW w:type="dxa" w:w="2160"/>
          </w:tcPr>
          <w:p>
            <w:r>
              <w:rPr>
                <w:b w:val="0"/>
                <w:color w:val="111111"/>
                <w:sz w:val="20"/>
              </w:rPr>
              <w:t>1.5 months' rent</w:t>
            </w:r>
          </w:p>
        </w:tc>
        <w:tc>
          <w:tcPr>
            <w:tcW w:type="dxa" w:w="2160"/>
          </w:tcPr>
          <w:p>
            <w:r>
              <w:rPr>
                <w:b w:val="0"/>
                <w:color w:val="111111"/>
                <w:sz w:val="20"/>
              </w:rPr>
              <w:t>30 days</w:t>
            </w:r>
          </w:p>
        </w:tc>
        <w:tc>
          <w:tcPr>
            <w:tcW w:type="dxa" w:w="2160"/>
          </w:tcPr>
          <w:p>
            <w:r>
              <w:rPr>
                <w:b w:val="0"/>
                <w:color w:val="111111"/>
                <w:sz w:val="20"/>
              </w:rPr>
              <w:t>3 days</w:t>
            </w:r>
          </w:p>
        </w:tc>
      </w:tr>
    </w:tbl>
    <w:p>
      <w:pPr>
        <w:spacing w:after="80"/>
      </w:pPr>
      <w:r>
        <w:rPr>
          <w:b w:val="0"/>
          <w:color w:val="111111"/>
          <w:sz w:val="22"/>
        </w:rPr>
        <w:t>Two reminders on the deposit side: where a state caps the total deposit, a pet deposit counts toward that cap; and the return-deadline clock usually starts at move-out or when the tenant gives a forwarding address.</w:t>
      </w:r>
    </w:p>
    <w:p/>
    <w:p>
      <w:pPr>
        <w:spacing w:before="220"/>
      </w:pPr>
      <w:r>
        <w:rPr>
          <w:b/>
          <w:color w:val="1C2B4A"/>
          <w:sz w:val="27"/>
        </w:rPr>
        <w:t>Table 2 — Notice to Enter by State</w:t>
      </w:r>
    </w:p>
    <w:p>
      <w:pPr>
        <w:spacing w:after="80"/>
      </w:pPr>
      <w:r>
        <w:rPr>
          <w:b w:val="0"/>
          <w:color w:val="111111"/>
          <w:sz w:val="22"/>
        </w:rPr>
        <w:t>A landlord cannot walk in unannounced. Most states set an advance-notice rule for non-emergency entry; a few leave it to the lease. Genuine emergencies (fire, flood, gas leak) never require notice.</w:t>
      </w:r>
    </w:p>
    <w:tbl>
      <w:tblPr>
        <w:tblStyle w:val="TableGrid"/>
        <w:tblW w:type="auto" w:w="0"/>
        <w:tblLook w:firstColumn="1" w:firstRow="1" w:lastColumn="0" w:lastRow="0" w:noHBand="0" w:noVBand="1" w:val="04A0"/>
      </w:tblPr>
      <w:tblGrid>
        <w:gridCol w:w="4320"/>
        <w:gridCol w:w="4320"/>
      </w:tblGrid>
      <w:tr>
        <w:tc>
          <w:tcPr>
            <w:tcW w:type="dxa" w:w="4320"/>
            <w:shd w:val="clear" w:fill="1C2B4A"/>
          </w:tcPr>
          <w:p>
            <w:r>
              <w:rPr>
                <w:b/>
                <w:color w:val="FFFFFF"/>
                <w:sz w:val="20"/>
              </w:rPr>
              <w:t>State</w:t>
            </w:r>
          </w:p>
        </w:tc>
        <w:tc>
          <w:tcPr>
            <w:tcW w:type="dxa" w:w="4320"/>
            <w:shd w:val="clear" w:fill="1C2B4A"/>
          </w:tcPr>
          <w:p>
            <w:r>
              <w:rPr>
                <w:b/>
                <w:color w:val="FFFFFF"/>
                <w:sz w:val="20"/>
              </w:rPr>
              <w:t>Notice to enter (non-emergency)</w:t>
            </w:r>
          </w:p>
        </w:tc>
      </w:tr>
      <w:tr>
        <w:tc>
          <w:tcPr>
            <w:tcW w:type="dxa" w:w="4320"/>
          </w:tcPr>
          <w:p>
            <w:r>
              <w:rPr>
                <w:b w:val="0"/>
                <w:color w:val="111111"/>
                <w:sz w:val="20"/>
              </w:rPr>
              <w:t>California</w:t>
            </w:r>
          </w:p>
        </w:tc>
        <w:tc>
          <w:tcPr>
            <w:tcW w:type="dxa" w:w="4320"/>
          </w:tcPr>
          <w:p>
            <w:r>
              <w:rPr>
                <w:b w:val="0"/>
                <w:color w:val="111111"/>
                <w:sz w:val="20"/>
              </w:rPr>
              <w:t>24 hours (written)</w:t>
            </w:r>
          </w:p>
        </w:tc>
      </w:tr>
      <w:tr>
        <w:tc>
          <w:tcPr>
            <w:tcW w:type="dxa" w:w="4320"/>
          </w:tcPr>
          <w:p>
            <w:r>
              <w:rPr>
                <w:b w:val="0"/>
                <w:color w:val="111111"/>
                <w:sz w:val="20"/>
              </w:rPr>
              <w:t>Florida</w:t>
            </w:r>
          </w:p>
        </w:tc>
        <w:tc>
          <w:tcPr>
            <w:tcW w:type="dxa" w:w="4320"/>
          </w:tcPr>
          <w:p>
            <w:r>
              <w:rPr>
                <w:b w:val="0"/>
                <w:color w:val="111111"/>
                <w:sz w:val="20"/>
              </w:rPr>
              <w:t>24 hours</w:t>
            </w:r>
          </w:p>
        </w:tc>
      </w:tr>
      <w:tr>
        <w:tc>
          <w:tcPr>
            <w:tcW w:type="dxa" w:w="4320"/>
          </w:tcPr>
          <w:p>
            <w:r>
              <w:rPr>
                <w:b w:val="0"/>
                <w:color w:val="111111"/>
                <w:sz w:val="20"/>
              </w:rPr>
              <w:t>Washington</w:t>
            </w:r>
          </w:p>
        </w:tc>
        <w:tc>
          <w:tcPr>
            <w:tcW w:type="dxa" w:w="4320"/>
          </w:tcPr>
          <w:p>
            <w:r>
              <w:rPr>
                <w:b w:val="0"/>
                <w:color w:val="111111"/>
                <w:sz w:val="20"/>
              </w:rPr>
              <w:t>2 days (1 day to show the unit)</w:t>
            </w:r>
          </w:p>
        </w:tc>
      </w:tr>
      <w:tr>
        <w:tc>
          <w:tcPr>
            <w:tcW w:type="dxa" w:w="4320"/>
          </w:tcPr>
          <w:p>
            <w:r>
              <w:rPr>
                <w:b w:val="0"/>
                <w:color w:val="111111"/>
                <w:sz w:val="20"/>
              </w:rPr>
              <w:t>Oregon</w:t>
            </w:r>
          </w:p>
        </w:tc>
        <w:tc>
          <w:tcPr>
            <w:tcW w:type="dxa" w:w="4320"/>
          </w:tcPr>
          <w:p>
            <w:r>
              <w:rPr>
                <w:b w:val="0"/>
                <w:color w:val="111111"/>
                <w:sz w:val="20"/>
              </w:rPr>
              <w:t>24 hours</w:t>
            </w:r>
          </w:p>
        </w:tc>
      </w:tr>
      <w:tr>
        <w:tc>
          <w:tcPr>
            <w:tcW w:type="dxa" w:w="4320"/>
          </w:tcPr>
          <w:p>
            <w:r>
              <w:rPr>
                <w:b w:val="0"/>
                <w:color w:val="111111"/>
                <w:sz w:val="20"/>
              </w:rPr>
              <w:t>Illinois (Chicago)</w:t>
            </w:r>
          </w:p>
        </w:tc>
        <w:tc>
          <w:tcPr>
            <w:tcW w:type="dxa" w:w="4320"/>
          </w:tcPr>
          <w:p>
            <w:r>
              <w:rPr>
                <w:b w:val="0"/>
                <w:color w:val="111111"/>
                <w:sz w:val="20"/>
              </w:rPr>
              <w:t>48 hours under the RLTO</w:t>
            </w:r>
          </w:p>
        </w:tc>
      </w:tr>
      <w:tr>
        <w:tc>
          <w:tcPr>
            <w:tcW w:type="dxa" w:w="4320"/>
          </w:tcPr>
          <w:p>
            <w:r>
              <w:rPr>
                <w:b w:val="0"/>
                <w:color w:val="111111"/>
                <w:sz w:val="20"/>
              </w:rPr>
              <w:t>New York</w:t>
            </w:r>
          </w:p>
        </w:tc>
        <w:tc>
          <w:tcPr>
            <w:tcW w:type="dxa" w:w="4320"/>
          </w:tcPr>
          <w:p>
            <w:r>
              <w:rPr>
                <w:b w:val="0"/>
                <w:color w:val="111111"/>
                <w:sz w:val="20"/>
              </w:rPr>
              <w:t>No fixed statute; courts expect reasonable notice (24–48 hours)</w:t>
            </w:r>
          </w:p>
        </w:tc>
      </w:tr>
      <w:tr>
        <w:tc>
          <w:tcPr>
            <w:tcW w:type="dxa" w:w="4320"/>
          </w:tcPr>
          <w:p>
            <w:r>
              <w:rPr>
                <w:b w:val="0"/>
                <w:color w:val="111111"/>
                <w:sz w:val="20"/>
              </w:rPr>
              <w:t>Texas</w:t>
            </w:r>
          </w:p>
        </w:tc>
        <w:tc>
          <w:tcPr>
            <w:tcW w:type="dxa" w:w="4320"/>
          </w:tcPr>
          <w:p>
            <w:r>
              <w:rPr>
                <w:b w:val="0"/>
                <w:color w:val="111111"/>
                <w:sz w:val="20"/>
              </w:rPr>
              <w:t>No statute; set it in the lease</w:t>
            </w:r>
          </w:p>
        </w:tc>
      </w:tr>
      <w:tr>
        <w:tc>
          <w:tcPr>
            <w:tcW w:type="dxa" w:w="4320"/>
          </w:tcPr>
          <w:p>
            <w:r>
              <w:rPr>
                <w:b w:val="0"/>
                <w:color w:val="111111"/>
                <w:sz w:val="20"/>
              </w:rPr>
              <w:t>Massachusetts</w:t>
            </w:r>
          </w:p>
        </w:tc>
        <w:tc>
          <w:tcPr>
            <w:tcW w:type="dxa" w:w="4320"/>
          </w:tcPr>
          <w:p>
            <w:r>
              <w:rPr>
                <w:b w:val="0"/>
                <w:color w:val="111111"/>
                <w:sz w:val="20"/>
              </w:rPr>
              <w:t>No statute; set it in the lease</w:t>
            </w:r>
          </w:p>
        </w:tc>
      </w:tr>
    </w:tbl>
    <w:p/>
    <w:p>
      <w:pPr>
        <w:spacing w:before="220"/>
      </w:pPr>
      <w:r>
        <w:rPr>
          <w:b/>
          <w:color w:val="1C2B4A"/>
          <w:sz w:val="27"/>
        </w:rPr>
        <w:t>Table 3 — Late Fee Limits (Selected States)</w:t>
      </w:r>
    </w:p>
    <w:tbl>
      <w:tblPr>
        <w:tblStyle w:val="TableGrid"/>
        <w:tblW w:type="auto" w:w="0"/>
        <w:tblLook w:firstColumn="1" w:firstRow="1" w:lastColumn="0" w:lastRow="0" w:noHBand="0" w:noVBand="1" w:val="04A0"/>
      </w:tblPr>
      <w:tblGrid>
        <w:gridCol w:w="4320"/>
        <w:gridCol w:w="4320"/>
      </w:tblGrid>
      <w:tr>
        <w:tc>
          <w:tcPr>
            <w:tcW w:type="dxa" w:w="4320"/>
            <w:shd w:val="clear" w:fill="1C2B4A"/>
          </w:tcPr>
          <w:p>
            <w:r>
              <w:rPr>
                <w:b/>
                <w:color w:val="FFFFFF"/>
                <w:sz w:val="20"/>
              </w:rPr>
              <w:t>State</w:t>
            </w:r>
          </w:p>
        </w:tc>
        <w:tc>
          <w:tcPr>
            <w:tcW w:type="dxa" w:w="4320"/>
            <w:shd w:val="clear" w:fill="1C2B4A"/>
          </w:tcPr>
          <w:p>
            <w:r>
              <w:rPr>
                <w:b/>
                <w:color w:val="FFFFFF"/>
                <w:sz w:val="20"/>
              </w:rPr>
              <w:t>Late fee limit</w:t>
            </w:r>
          </w:p>
        </w:tc>
      </w:tr>
      <w:tr>
        <w:tc>
          <w:tcPr>
            <w:tcW w:type="dxa" w:w="4320"/>
          </w:tcPr>
          <w:p>
            <w:r>
              <w:rPr>
                <w:b w:val="0"/>
                <w:color w:val="111111"/>
                <w:sz w:val="20"/>
              </w:rPr>
              <w:t>New York</w:t>
            </w:r>
          </w:p>
        </w:tc>
        <w:tc>
          <w:tcPr>
            <w:tcW w:type="dxa" w:w="4320"/>
          </w:tcPr>
          <w:p>
            <w:r>
              <w:rPr>
                <w:b w:val="0"/>
                <w:color w:val="111111"/>
                <w:sz w:val="20"/>
              </w:rPr>
              <w:t>$50 or 5% of the rent, whichever is less</w:t>
            </w:r>
          </w:p>
        </w:tc>
      </w:tr>
      <w:tr>
        <w:tc>
          <w:tcPr>
            <w:tcW w:type="dxa" w:w="4320"/>
          </w:tcPr>
          <w:p>
            <w:r>
              <w:rPr>
                <w:b w:val="0"/>
                <w:color w:val="111111"/>
                <w:sz w:val="20"/>
              </w:rPr>
              <w:t>Texas</w:t>
            </w:r>
          </w:p>
        </w:tc>
        <w:tc>
          <w:tcPr>
            <w:tcW w:type="dxa" w:w="4320"/>
          </w:tcPr>
          <w:p>
            <w:r>
              <w:rPr>
                <w:b w:val="0"/>
                <w:color w:val="111111"/>
                <w:sz w:val="20"/>
              </w:rPr>
              <w:t>Presumed reasonable up to 12% (4 or fewer units) or 10% (more than 4)</w:t>
            </w:r>
          </w:p>
        </w:tc>
      </w:tr>
      <w:tr>
        <w:tc>
          <w:tcPr>
            <w:tcW w:type="dxa" w:w="4320"/>
          </w:tcPr>
          <w:p>
            <w:r>
              <w:rPr>
                <w:b w:val="0"/>
                <w:color w:val="111111"/>
                <w:sz w:val="20"/>
              </w:rPr>
              <w:t>Oregon</w:t>
            </w:r>
          </w:p>
        </w:tc>
        <w:tc>
          <w:tcPr>
            <w:tcW w:type="dxa" w:w="4320"/>
          </w:tcPr>
          <w:p>
            <w:r>
              <w:rPr>
                <w:b w:val="0"/>
                <w:color w:val="111111"/>
                <w:sz w:val="20"/>
              </w:rPr>
              <w:t>A reasonable flat fee, or 5% of the rent per five-day period</w:t>
            </w:r>
          </w:p>
        </w:tc>
      </w:tr>
      <w:tr>
        <w:tc>
          <w:tcPr>
            <w:tcW w:type="dxa" w:w="4320"/>
          </w:tcPr>
          <w:p>
            <w:r>
              <w:rPr>
                <w:b w:val="0"/>
                <w:color w:val="111111"/>
                <w:sz w:val="20"/>
              </w:rPr>
              <w:t>California</w:t>
            </w:r>
          </w:p>
        </w:tc>
        <w:tc>
          <w:tcPr>
            <w:tcW w:type="dxa" w:w="4320"/>
          </w:tcPr>
          <w:p>
            <w:r>
              <w:rPr>
                <w:b w:val="0"/>
                <w:color w:val="111111"/>
                <w:sz w:val="20"/>
              </w:rPr>
              <w:t>No statutory cap; must be a reasonable estimate of actual costs</w:t>
            </w:r>
          </w:p>
        </w:tc>
      </w:tr>
      <w:tr>
        <w:tc>
          <w:tcPr>
            <w:tcW w:type="dxa" w:w="4320"/>
          </w:tcPr>
          <w:p>
            <w:r>
              <w:rPr>
                <w:b w:val="0"/>
                <w:color w:val="111111"/>
                <w:sz w:val="20"/>
              </w:rPr>
              <w:t>Florida</w:t>
            </w:r>
          </w:p>
        </w:tc>
        <w:tc>
          <w:tcPr>
            <w:tcW w:type="dxa" w:w="4320"/>
          </w:tcPr>
          <w:p>
            <w:r>
              <w:rPr>
                <w:b w:val="0"/>
                <w:color w:val="111111"/>
                <w:sz w:val="20"/>
              </w:rPr>
              <w:t>No statutory cap; must be a reasonable estimate of actual costs</w:t>
            </w:r>
          </w:p>
        </w:tc>
      </w:tr>
    </w:tbl>
    <w:p>
      <w:pPr>
        <w:spacing w:after="80"/>
      </w:pPr>
      <w:r>
        <w:rPr>
          <w:b w:val="0"/>
          <w:color w:val="111111"/>
          <w:sz w:val="22"/>
        </w:rPr>
        <w:t>Wherever you are, put the late fee in the lease and keep it within the state's limit.</w:t>
      </w:r>
    </w:p>
    <w:p/>
    <w:p>
      <w:pPr>
        <w:spacing w:before="220"/>
      </w:pPr>
      <w:r>
        <w:rPr>
          <w:b/>
          <w:color w:val="1C2B4A"/>
          <w:sz w:val="27"/>
        </w:rPr>
        <w:t>Rules That Apply Everywhere</w:t>
      </w:r>
    </w:p>
    <w:p>
      <w:r>
        <w:rPr>
          <w:b/>
          <w:color w:val="111111"/>
          <w:sz w:val="22"/>
        </w:rPr>
        <w:t>Security deposits — deductions and itemization</w:t>
      </w:r>
    </w:p>
    <w:p>
      <w:pPr>
        <w:spacing w:after="80"/>
      </w:pPr>
      <w:r>
        <w:rPr>
          <w:b w:val="0"/>
          <w:color w:val="111111"/>
          <w:sz w:val="22"/>
        </w:rPr>
        <w:t>A landlord can deduct for unpaid rent and damage beyond normal wear and tear, but not for ordinary aging. Most states require an itemized statement of any deductions within the return window. Miss the deadline or skip the itemization and many states let the tenant recover two or three times the wrongfully withheld amount plus attorney fees. Several states also require the deposit to sit in a separate or interest-bearing account.</w:t>
      </w:r>
    </w:p>
    <w:p>
      <w:r>
        <w:rPr>
          <w:b/>
          <w:color w:val="111111"/>
          <w:sz w:val="22"/>
        </w:rPr>
        <w:t>Eviction is a court process, never self-help</w:t>
      </w:r>
    </w:p>
    <w:p>
      <w:pPr>
        <w:spacing w:after="80"/>
      </w:pPr>
      <w:r>
        <w:rPr>
          <w:b w:val="0"/>
          <w:color w:val="111111"/>
          <w:sz w:val="22"/>
        </w:rPr>
        <w:t>The nonpayment notice in Table 1 is only the first step; a different notice applies to a lease violation (cure-or-quit) or the end of a tenancy (notice to vacate). After the notice period runs, the landlord files an unlawful-detainer case, serves the tenant, and, if they win, obtains a writ of possession that only the sheriff can execute.</w:t>
      </w:r>
    </w:p>
    <w:p>
      <w:r>
        <w:rPr>
          <w:b/>
          <w:color w:val="111111"/>
          <w:sz w:val="22"/>
        </w:rPr>
        <w:t>Warranty of habitability</w:t>
      </w:r>
    </w:p>
    <w:p>
      <w:pPr>
        <w:spacing w:after="80"/>
      </w:pPr>
      <w:r>
        <w:rPr>
          <w:b w:val="0"/>
          <w:color w:val="111111"/>
          <w:sz w:val="22"/>
        </w:rPr>
        <w:t>The landlord must keep the unit fit to live in: working heat, plumbing, and electricity, a weather-tight structure, hot water, and compliance with building and health codes. When a landlord fails to make a needed repair after proper notice, state law gives the tenant remedies — commonly repair-and-deduct, rent withholding into escrow, or terminating the lease. In return, the tenant must keep the unit reasonably clean, avoid causing damage, and report problems promptly.</w:t>
      </w:r>
    </w:p>
    <w:p>
      <w:r>
        <w:rPr>
          <w:b/>
          <w:color w:val="111111"/>
          <w:sz w:val="22"/>
        </w:rPr>
        <w:t>Required disclosures and fair housing</w:t>
      </w:r>
    </w:p>
    <w:p>
      <w:pPr>
        <w:spacing w:after="80"/>
      </w:pPr>
      <w:r>
        <w:rPr>
          <w:b w:val="0"/>
          <w:color w:val="111111"/>
          <w:sz w:val="22"/>
        </w:rPr>
        <w:t>For any property built before 1978, the lead-based paint disclosure and EPA pamphlet are required, with steep penalties for skipping them. States add their own — mold, flood zone, bed-bug history, and the identity of the owner or agent. A blanket policy that disproportionately excludes a protected class can violate the Fair Housing Act even without intent, so screen consistently and document why.</w:t>
      </w:r>
    </w:p>
    <w:p/>
    <w:p>
      <w:pPr>
        <w:spacing w:before="220"/>
      </w:pPr>
      <w:r>
        <w:rPr>
          <w:b/>
          <w:color w:val="1C2B4A"/>
          <w:sz w:val="27"/>
        </w:rPr>
        <w:t>My State Worksheet — Confirm Before You Collect or Serve</w:t>
      </w:r>
    </w:p>
    <w:p>
      <w:pPr>
        <w:spacing w:after="80"/>
      </w:pPr>
      <w:r>
        <w:rPr>
          <w:b w:val="0"/>
          <w:color w:val="111111"/>
          <w:sz w:val="22"/>
        </w:rPr>
        <w:t>Look up the current figures for your state and city, then fill these in and keep them with your lease file.</w:t>
      </w:r>
    </w:p>
    <w:p>
      <w:r>
        <w:rPr>
          <w:b/>
          <w:color w:val="111111"/>
          <w:sz w:val="22"/>
        </w:rPr>
        <w:t xml:space="preserve">My state:  </w:t>
      </w:r>
      <w:r>
        <w:rPr>
          <w:b w:val="0"/>
          <w:color w:val="111111"/>
          <w:sz w:val="22"/>
        </w:rPr>
        <w:t>________________________________________</w:t>
      </w:r>
    </w:p>
    <w:p>
      <w:r>
        <w:rPr>
          <w:b/>
          <w:color w:val="111111"/>
          <w:sz w:val="22"/>
        </w:rPr>
        <w:t xml:space="preserve">My city / county (stricter local rules?):  </w:t>
      </w:r>
      <w:r>
        <w:rPr>
          <w:b w:val="0"/>
          <w:color w:val="111111"/>
          <w:sz w:val="22"/>
        </w:rPr>
        <w:t>________________________________________</w:t>
      </w:r>
    </w:p>
    <w:p>
      <w:r>
        <w:rPr>
          <w:b/>
          <w:color w:val="111111"/>
          <w:sz w:val="22"/>
        </w:rPr>
        <w:t xml:space="preserve">Deposit cap (state / local):  </w:t>
      </w:r>
      <w:r>
        <w:rPr>
          <w:b w:val="0"/>
          <w:color w:val="111111"/>
          <w:sz w:val="22"/>
        </w:rPr>
        <w:t>________________________________________</w:t>
      </w:r>
    </w:p>
    <w:p>
      <w:r>
        <w:rPr>
          <w:b/>
          <w:color w:val="111111"/>
          <w:sz w:val="22"/>
        </w:rPr>
        <w:t xml:space="preserve">Deposit return deadline:  </w:t>
      </w:r>
      <w:r>
        <w:rPr>
          <w:b w:val="0"/>
          <w:color w:val="111111"/>
          <w:sz w:val="22"/>
        </w:rPr>
        <w:t>________________________________________</w:t>
      </w:r>
    </w:p>
    <w:p>
      <w:r>
        <w:rPr>
          <w:b/>
          <w:color w:val="111111"/>
          <w:sz w:val="22"/>
        </w:rPr>
        <w:t xml:space="preserve">Itemized-statement requirement (deadline):  </w:t>
      </w:r>
      <w:r>
        <w:rPr>
          <w:b w:val="0"/>
          <w:color w:val="111111"/>
          <w:sz w:val="22"/>
        </w:rPr>
        <w:t>________________________________________</w:t>
      </w:r>
    </w:p>
    <w:p>
      <w:r>
        <w:rPr>
          <w:b/>
          <w:color w:val="111111"/>
          <w:sz w:val="22"/>
        </w:rPr>
        <w:t xml:space="preserve">Separate / interest-bearing account required?:  </w:t>
      </w:r>
      <w:r>
        <w:rPr>
          <w:b w:val="0"/>
          <w:color w:val="111111"/>
          <w:sz w:val="22"/>
        </w:rPr>
        <w:t>________________________________________</w:t>
      </w:r>
    </w:p>
    <w:p>
      <w:r>
        <w:rPr>
          <w:b/>
          <w:color w:val="111111"/>
          <w:sz w:val="22"/>
        </w:rPr>
        <w:t xml:space="preserve">Nonpayment (pay-or-quit) notice period:  </w:t>
      </w:r>
      <w:r>
        <w:rPr>
          <w:b w:val="0"/>
          <w:color w:val="111111"/>
          <w:sz w:val="22"/>
        </w:rPr>
        <w:t>________________________________________</w:t>
      </w:r>
    </w:p>
    <w:p>
      <w:r>
        <w:rPr>
          <w:b/>
          <w:color w:val="111111"/>
          <w:sz w:val="22"/>
        </w:rPr>
        <w:t xml:space="preserve">Cure-or-quit notice period (lease violation):  </w:t>
      </w:r>
      <w:r>
        <w:rPr>
          <w:b w:val="0"/>
          <w:color w:val="111111"/>
          <w:sz w:val="22"/>
        </w:rPr>
        <w:t>________________________________________</w:t>
      </w:r>
    </w:p>
    <w:p>
      <w:r>
        <w:rPr>
          <w:b/>
          <w:color w:val="111111"/>
          <w:sz w:val="22"/>
        </w:rPr>
        <w:t xml:space="preserve">Notice to vacate (end of tenancy):  </w:t>
      </w:r>
      <w:r>
        <w:rPr>
          <w:b w:val="0"/>
          <w:color w:val="111111"/>
          <w:sz w:val="22"/>
        </w:rPr>
        <w:t>________________________________________</w:t>
      </w:r>
    </w:p>
    <w:p>
      <w:r>
        <w:rPr>
          <w:b/>
          <w:color w:val="111111"/>
          <w:sz w:val="22"/>
        </w:rPr>
        <w:t xml:space="preserve">Notice to enter (non-emergency):  </w:t>
      </w:r>
      <w:r>
        <w:rPr>
          <w:b w:val="0"/>
          <w:color w:val="111111"/>
          <w:sz w:val="22"/>
        </w:rPr>
        <w:t>________________________________________</w:t>
      </w:r>
    </w:p>
    <w:p>
      <w:r>
        <w:rPr>
          <w:b/>
          <w:color w:val="111111"/>
          <w:sz w:val="22"/>
        </w:rPr>
        <w:t xml:space="preserve">Late fee limit:  </w:t>
      </w:r>
      <w:r>
        <w:rPr>
          <w:b w:val="0"/>
          <w:color w:val="111111"/>
          <w:sz w:val="22"/>
        </w:rPr>
        <w:t>________________________________________</w:t>
      </w:r>
    </w:p>
    <w:p>
      <w:r>
        <w:rPr>
          <w:b/>
          <w:color w:val="111111"/>
          <w:sz w:val="22"/>
        </w:rPr>
        <w:t xml:space="preserve">Required disclosures (lead paint, mold, flood, owner ID, other):  </w:t>
      </w:r>
      <w:r>
        <w:rPr>
          <w:b w:val="0"/>
          <w:color w:val="111111"/>
          <w:sz w:val="22"/>
        </w:rPr>
        <w:t>________________________________________</w:t>
      </w:r>
    </w:p>
    <w:p>
      <w:r>
        <w:rPr>
          <w:b/>
          <w:color w:val="111111"/>
          <w:sz w:val="22"/>
        </w:rPr>
        <w:t xml:space="preserve">Local protected classes beyond federal (source of income, etc.):  </w:t>
      </w:r>
      <w:r>
        <w:rPr>
          <w:b w:val="0"/>
          <w:color w:val="111111"/>
          <w:sz w:val="22"/>
        </w:rPr>
        <w:t>________________________________________</w:t>
      </w:r>
    </w:p>
    <w:p>
      <w:r>
        <w:rPr>
          <w:b/>
          <w:color w:val="111111"/>
          <w:sz w:val="22"/>
        </w:rPr>
        <w:t xml:space="preserve">Date figures confirmed / source:  </w:t>
      </w:r>
      <w:r>
        <w:rPr>
          <w:b w:val="0"/>
          <w:color w:val="111111"/>
          <w:sz w:val="22"/>
        </w:rPr>
        <w:t>________________________________________</w:t>
      </w:r>
    </w:p>
    <w:p/>
    <w:p/>
    <w:tbl>
      <w:tblPr>
        <w:tblStyle w:val="TableGrid"/>
        <w:tblW w:type="auto" w:w="0"/>
        <w:tblLook w:firstColumn="1" w:firstRow="1" w:lastColumn="0" w:lastRow="0" w:noHBand="0" w:noVBand="1" w:val="04A0"/>
      </w:tblPr>
      <w:tblGrid>
        <w:gridCol w:w="8640"/>
      </w:tblGrid>
      <w:tr>
        <w:tc>
          <w:tcPr>
            <w:tcW w:type="dxa" w:w="8640"/>
            <w:shd w:val="clear" w:fill="F2F5FA"/>
          </w:tcPr>
          <w:p>
            <w:r>
              <w:rPr>
                <w:b/>
                <w:color w:val="1C2B4A"/>
                <w:sz w:val="22"/>
              </w:rPr>
              <w:t>INSTRUCTIONS FOR USE</w:t>
            </w:r>
          </w:p>
          <w:p>
            <w:r>
              <w:rPr>
                <w:b w:val="0"/>
                <w:color w:val="111111"/>
                <w:sz w:val="20"/>
              </w:rPr>
              <w:t>How to use this table: These figures are a starting map, not legal advice — laws change and cities are often stricter than the state. Find your state in Tables 1–3, then verify each number against your state's current statute or housing authority before you collect a deposit, set a late fee, or serve any notice. Record what you confirm in the 'My State Worksheet' and date it. When a lease term conflicts with the law, the law controls, so match your lease and notices to the confirmed figures.</w:t>
            </w:r>
          </w:p>
        </w:tc>
      </w:tr>
    </w:tbl>
    <w:p/>
    <w:p>
      <w:pPr>
        <w:spacing w:after="80"/>
      </w:pPr>
      <w:r>
        <w:rPr>
          <w:b w:val="0"/>
          <w:color w:val="111111"/>
          <w:sz w:val="22"/>
        </w:rPr>
        <w:t>© 2026 ClearLegalTips.com — Informational only, not legal advice.</w:t>
      </w:r>
    </w:p>
    <w:sectPr w:rsidR="00FC693F" w:rsidRPr="0006063C" w:rsidSect="00034616">
      <w:headerReference w:type="default" r:id="rId9"/>
      <w:footerReference w:type="default" r:id="rId10"/>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Bdr>
        <w:top w:val="single" w:sz="4" w:space="6" w:color="D5D7DC"/>
      </w:pBdr>
    </w:pPr>
    <w:r/>
    <w:r>
      <w:rPr>
        <w:b w:val="0"/>
        <w:color w:val="111111"/>
        <w:sz w:val="16"/>
      </w:rPr>
      <w:t xml:space="preserve">clearlegaltips.com  —  free legal template   ·   Page </w:t>
    </w:r>
    <w:fldSimple w:instr="PAGE">
      <w:r>
        <w:t>1</w:t>
      </w:r>
    </w:fldSimple>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Bdr>
        <w:bottom w:val="single" w:sz="28" w:space="1" w:color="1C2B4A"/>
      </w:pBdr>
    </w:pPr>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