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b/>
          <w:color w:val="1C2B4A"/>
          <w:sz w:val="40"/>
        </w:rPr>
        <w:t>Landlord Rental Expense Worksheet (2026)</w:t>
      </w:r>
    </w:p>
    <w:p>
      <w:pPr>
        <w:spacing w:after="200"/>
        <w:pBdr>
          <w:bottom w:val="single" w:sz="12" w:space="2" w:color="C9A23A"/>
        </w:pBdr>
      </w:pPr>
      <w:r>
        <w:rPr>
          <w:b/>
          <w:color w:val="1C2B4A"/>
          <w:sz w:val="26"/>
        </w:rPr>
        <w:t>A fillable Schedule E tracker: your 14 deduction categories, a monthly expense log, and a mileage record</w:t>
      </w:r>
    </w:p>
    <w:p>
      <w:pPr>
        <w:spacing w:after="80"/>
      </w:pPr>
      <w:r>
        <w:rPr>
          <w:b w:val="0"/>
          <w:color w:val="111111"/>
          <w:sz w:val="22"/>
        </w:rPr>
        <w:t>Rental income and expenses go on Schedule E, Part I of Form 1040. Use this sheet to capture every deductible dollar as it happens, so tax season is a matter of adding columns. Full guide, sources, and the depreciation math: clearlegaltips.com/landlord-tax-deductions/</w:t>
      </w:r>
    </w:p>
    <w:p>
      <w:pPr>
        <w:spacing w:before="220"/>
      </w:pPr>
      <w:r>
        <w:rPr>
          <w:b/>
          <w:color w:val="1C2B4A"/>
          <w:sz w:val="27"/>
        </w:rPr>
        <w:t>Property information</w:t>
      </w:r>
    </w:p>
    <w:p>
      <w:r>
        <w:rPr>
          <w:b/>
          <w:color w:val="111111"/>
          <w:sz w:val="22"/>
        </w:rPr>
        <w:t xml:space="preserve">Property address and unit: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Tax year: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Date placed in service (first available to rent):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Building basis for depreciation (purchase price minus land value) $: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Annual depreciation (building basis divided by 27.5) $:  </w:t>
      </w:r>
      <w:r>
        <w:rPr>
          <w:b w:val="0"/>
          <w:color w:val="111111"/>
          <w:sz w:val="22"/>
        </w:rPr>
        <w:t>________________________________________</w:t>
      </w:r>
    </w:p>
    <w:p/>
    <w:p>
      <w:pPr>
        <w:spacing w:before="220"/>
      </w:pPr>
      <w:r>
        <w:rPr>
          <w:b/>
          <w:color w:val="1C2B4A"/>
          <w:sz w:val="27"/>
        </w:rPr>
        <w:t>Schedule E expense categories</w:t>
      </w:r>
    </w:p>
    <w:p>
      <w:pPr>
        <w:spacing w:after="80"/>
      </w:pPr>
      <w:r>
        <w:rPr>
          <w:b w:val="0"/>
          <w:color w:val="111111"/>
          <w:sz w:val="22"/>
        </w:rPr>
        <w:t>Enter your total for each category. Keep a receipt behind every figure.</w:t>
      </w:r>
    </w:p>
    <w:p>
      <w:r>
        <w:rPr>
          <w:b/>
          <w:color w:val="111111"/>
          <w:sz w:val="22"/>
        </w:rPr>
        <w:t xml:space="preserve">Advertising $: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Auto and travel (mileage or actual cost) $: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Cleaning and maintenance $: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Commissions $: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Insurance $: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Legal and professional fees $: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Management fees $: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Mortgage interest (from Form 1098) $: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Repairs $: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Supplies $: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Taxes (property tax, local licensing) $: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Utilities you pay $: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Depreciation (from the box above) $: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Other (HOA dues, bank fees, subscriptions) $:  </w:t>
      </w:r>
      <w:r>
        <w:rPr>
          <w:b w:val="0"/>
          <w:color w:val="111111"/>
          <w:sz w:val="22"/>
        </w:rPr>
        <w:t>________________________________________</w:t>
      </w:r>
    </w:p>
    <w:p/>
    <w:p>
      <w:pPr>
        <w:spacing w:before="220"/>
      </w:pPr>
      <w:r>
        <w:rPr>
          <w:b/>
          <w:color w:val="1C2B4A"/>
          <w:sz w:val="27"/>
        </w:rPr>
        <w:t>Monthly expense log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val="clear" w:fill="1C2B4A"/>
          </w:tcPr>
          <w:p>
            <w:r>
              <w:rPr>
                <w:b/>
                <w:color w:val="FFFFFF"/>
                <w:sz w:val="20"/>
              </w:rPr>
              <w:t>Date</w:t>
            </w:r>
          </w:p>
        </w:tc>
        <w:tc>
          <w:tcPr>
            <w:tcW w:type="dxa" w:w="1728"/>
            <w:shd w:val="clear" w:fill="1C2B4A"/>
          </w:tcPr>
          <w:p>
            <w:r>
              <w:rPr>
                <w:b/>
                <w:color w:val="FFFFFF"/>
                <w:sz w:val="20"/>
              </w:rPr>
              <w:t>Category</w:t>
            </w:r>
          </w:p>
        </w:tc>
        <w:tc>
          <w:tcPr>
            <w:tcW w:type="dxa" w:w="1728"/>
            <w:shd w:val="clear" w:fill="1C2B4A"/>
          </w:tcPr>
          <w:p>
            <w:r>
              <w:rPr>
                <w:b/>
                <w:color w:val="FFFFFF"/>
                <w:sz w:val="20"/>
              </w:rPr>
              <w:t>Vendor / payee</w:t>
            </w:r>
          </w:p>
        </w:tc>
        <w:tc>
          <w:tcPr>
            <w:tcW w:type="dxa" w:w="1728"/>
            <w:shd w:val="clear" w:fill="1C2B4A"/>
          </w:tcPr>
          <w:p>
            <w:r>
              <w:rPr>
                <w:b/>
                <w:color w:val="FFFFFF"/>
                <w:sz w:val="20"/>
              </w:rPr>
              <w:t>Amount ($)</w:t>
            </w:r>
          </w:p>
        </w:tc>
        <w:tc>
          <w:tcPr>
            <w:tcW w:type="dxa" w:w="1728"/>
            <w:shd w:val="clear" w:fill="1C2B4A"/>
          </w:tcPr>
          <w:p>
            <w:r>
              <w:rPr>
                <w:b/>
                <w:color w:val="FFFFFF"/>
                <w:sz w:val="20"/>
              </w:rPr>
              <w:t>Receipt?</w:t>
            </w:r>
          </w:p>
        </w:tc>
      </w:tr>
      <w:tr>
        <w:tc>
          <w:tcPr>
            <w:tcW w:type="dxa" w:w="1728"/>
          </w:tcPr>
          <w:p>
            <w:r>
              <w:rPr>
                <w:b w:val="0"/>
                <w:color w:val="111111"/>
                <w:sz w:val="20"/>
              </w:rPr>
            </w:r>
          </w:p>
        </w:tc>
        <w:tc>
          <w:tcPr>
            <w:tcW w:type="dxa" w:w="1728"/>
          </w:tcPr>
          <w:p>
            <w:r>
              <w:rPr>
                <w:b w:val="0"/>
                <w:color w:val="111111"/>
                <w:sz w:val="20"/>
              </w:rPr>
            </w:r>
          </w:p>
        </w:tc>
        <w:tc>
          <w:tcPr>
            <w:tcW w:type="dxa" w:w="1728"/>
          </w:tcPr>
          <w:p>
            <w:r>
              <w:rPr>
                <w:b w:val="0"/>
                <w:color w:val="111111"/>
                <w:sz w:val="20"/>
              </w:rPr>
            </w:r>
          </w:p>
        </w:tc>
        <w:tc>
          <w:tcPr>
            <w:tcW w:type="dxa" w:w="1728"/>
          </w:tcPr>
          <w:p>
            <w:r>
              <w:rPr>
                <w:b w:val="0"/>
                <w:color w:val="111111"/>
                <w:sz w:val="20"/>
              </w:rPr>
            </w:r>
          </w:p>
        </w:tc>
        <w:tc>
          <w:tcPr>
            <w:tcW w:type="dxa" w:w="1728"/>
          </w:tcPr>
          <w:p>
            <w:r>
              <w:rPr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1728"/>
          </w:tcPr>
          <w:p>
            <w:r>
              <w:rPr>
                <w:b w:val="0"/>
                <w:color w:val="111111"/>
                <w:sz w:val="20"/>
              </w:rPr>
            </w:r>
          </w:p>
        </w:tc>
        <w:tc>
          <w:tcPr>
            <w:tcW w:type="dxa" w:w="1728"/>
          </w:tcPr>
          <w:p>
            <w:r>
              <w:rPr>
                <w:b w:val="0"/>
                <w:color w:val="111111"/>
                <w:sz w:val="20"/>
              </w:rPr>
            </w:r>
          </w:p>
        </w:tc>
        <w:tc>
          <w:tcPr>
            <w:tcW w:type="dxa" w:w="1728"/>
          </w:tcPr>
          <w:p>
            <w:r>
              <w:rPr>
                <w:b w:val="0"/>
                <w:color w:val="111111"/>
                <w:sz w:val="20"/>
              </w:rPr>
            </w:r>
          </w:p>
        </w:tc>
        <w:tc>
          <w:tcPr>
            <w:tcW w:type="dxa" w:w="1728"/>
          </w:tcPr>
          <w:p>
            <w:r>
              <w:rPr>
                <w:b w:val="0"/>
                <w:color w:val="111111"/>
                <w:sz w:val="20"/>
              </w:rPr>
            </w:r>
          </w:p>
        </w:tc>
        <w:tc>
          <w:tcPr>
            <w:tcW w:type="dxa" w:w="1728"/>
          </w:tcPr>
          <w:p>
            <w:r>
              <w:rPr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1728"/>
          </w:tcPr>
          <w:p>
            <w:r>
              <w:rPr>
                <w:b w:val="0"/>
                <w:color w:val="111111"/>
                <w:sz w:val="20"/>
              </w:rPr>
            </w:r>
          </w:p>
        </w:tc>
        <w:tc>
          <w:tcPr>
            <w:tcW w:type="dxa" w:w="1728"/>
          </w:tcPr>
          <w:p>
            <w:r>
              <w:rPr>
                <w:b w:val="0"/>
                <w:color w:val="111111"/>
                <w:sz w:val="20"/>
              </w:rPr>
            </w:r>
          </w:p>
        </w:tc>
        <w:tc>
          <w:tcPr>
            <w:tcW w:type="dxa" w:w="1728"/>
          </w:tcPr>
          <w:p>
            <w:r>
              <w:rPr>
                <w:b w:val="0"/>
                <w:color w:val="111111"/>
                <w:sz w:val="20"/>
              </w:rPr>
            </w:r>
          </w:p>
        </w:tc>
        <w:tc>
          <w:tcPr>
            <w:tcW w:type="dxa" w:w="1728"/>
          </w:tcPr>
          <w:p>
            <w:r>
              <w:rPr>
                <w:b w:val="0"/>
                <w:color w:val="111111"/>
                <w:sz w:val="20"/>
              </w:rPr>
            </w:r>
          </w:p>
        </w:tc>
        <w:tc>
          <w:tcPr>
            <w:tcW w:type="dxa" w:w="1728"/>
          </w:tcPr>
          <w:p>
            <w:r>
              <w:rPr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1728"/>
          </w:tcPr>
          <w:p>
            <w:r>
              <w:rPr>
                <w:b w:val="0"/>
                <w:color w:val="111111"/>
                <w:sz w:val="20"/>
              </w:rPr>
            </w:r>
          </w:p>
        </w:tc>
        <w:tc>
          <w:tcPr>
            <w:tcW w:type="dxa" w:w="1728"/>
          </w:tcPr>
          <w:p>
            <w:r>
              <w:rPr>
                <w:b w:val="0"/>
                <w:color w:val="111111"/>
                <w:sz w:val="20"/>
              </w:rPr>
            </w:r>
          </w:p>
        </w:tc>
        <w:tc>
          <w:tcPr>
            <w:tcW w:type="dxa" w:w="1728"/>
          </w:tcPr>
          <w:p>
            <w:r>
              <w:rPr>
                <w:b w:val="0"/>
                <w:color w:val="111111"/>
                <w:sz w:val="20"/>
              </w:rPr>
            </w:r>
          </w:p>
        </w:tc>
        <w:tc>
          <w:tcPr>
            <w:tcW w:type="dxa" w:w="1728"/>
          </w:tcPr>
          <w:p>
            <w:r>
              <w:rPr>
                <w:b w:val="0"/>
                <w:color w:val="111111"/>
                <w:sz w:val="20"/>
              </w:rPr>
            </w:r>
          </w:p>
        </w:tc>
        <w:tc>
          <w:tcPr>
            <w:tcW w:type="dxa" w:w="1728"/>
          </w:tcPr>
          <w:p>
            <w:r>
              <w:rPr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1728"/>
          </w:tcPr>
          <w:p>
            <w:r>
              <w:rPr>
                <w:b w:val="0"/>
                <w:color w:val="111111"/>
                <w:sz w:val="20"/>
              </w:rPr>
            </w:r>
          </w:p>
        </w:tc>
        <w:tc>
          <w:tcPr>
            <w:tcW w:type="dxa" w:w="1728"/>
          </w:tcPr>
          <w:p>
            <w:r>
              <w:rPr>
                <w:b w:val="0"/>
                <w:color w:val="111111"/>
                <w:sz w:val="20"/>
              </w:rPr>
            </w:r>
          </w:p>
        </w:tc>
        <w:tc>
          <w:tcPr>
            <w:tcW w:type="dxa" w:w="1728"/>
          </w:tcPr>
          <w:p>
            <w:r>
              <w:rPr>
                <w:b w:val="0"/>
                <w:color w:val="111111"/>
                <w:sz w:val="20"/>
              </w:rPr>
            </w:r>
          </w:p>
        </w:tc>
        <w:tc>
          <w:tcPr>
            <w:tcW w:type="dxa" w:w="1728"/>
          </w:tcPr>
          <w:p>
            <w:r>
              <w:rPr>
                <w:b w:val="0"/>
                <w:color w:val="111111"/>
                <w:sz w:val="20"/>
              </w:rPr>
            </w:r>
          </w:p>
        </w:tc>
        <w:tc>
          <w:tcPr>
            <w:tcW w:type="dxa" w:w="1728"/>
          </w:tcPr>
          <w:p>
            <w:r>
              <w:rPr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1728"/>
          </w:tcPr>
          <w:p>
            <w:r>
              <w:rPr>
                <w:b w:val="0"/>
                <w:color w:val="111111"/>
                <w:sz w:val="20"/>
              </w:rPr>
            </w:r>
          </w:p>
        </w:tc>
        <w:tc>
          <w:tcPr>
            <w:tcW w:type="dxa" w:w="1728"/>
          </w:tcPr>
          <w:p>
            <w:r>
              <w:rPr>
                <w:b w:val="0"/>
                <w:color w:val="111111"/>
                <w:sz w:val="20"/>
              </w:rPr>
            </w:r>
          </w:p>
        </w:tc>
        <w:tc>
          <w:tcPr>
            <w:tcW w:type="dxa" w:w="1728"/>
          </w:tcPr>
          <w:p>
            <w:r>
              <w:rPr>
                <w:b w:val="0"/>
                <w:color w:val="111111"/>
                <w:sz w:val="20"/>
              </w:rPr>
            </w:r>
          </w:p>
        </w:tc>
        <w:tc>
          <w:tcPr>
            <w:tcW w:type="dxa" w:w="1728"/>
          </w:tcPr>
          <w:p>
            <w:r>
              <w:rPr>
                <w:b w:val="0"/>
                <w:color w:val="111111"/>
                <w:sz w:val="20"/>
              </w:rPr>
            </w:r>
          </w:p>
        </w:tc>
        <w:tc>
          <w:tcPr>
            <w:tcW w:type="dxa" w:w="1728"/>
          </w:tcPr>
          <w:p>
            <w:r>
              <w:rPr>
                <w:b w:val="0"/>
                <w:color w:val="111111"/>
                <w:sz w:val="20"/>
              </w:rPr>
            </w:r>
          </w:p>
        </w:tc>
      </w:tr>
    </w:tbl>
    <w:p/>
    <w:p>
      <w:pPr>
        <w:spacing w:before="220"/>
      </w:pPr>
      <w:r>
        <w:rPr>
          <w:b/>
          <w:color w:val="1C2B4A"/>
          <w:sz w:val="27"/>
        </w:rPr>
        <w:t>Mileage log</w:t>
      </w:r>
    </w:p>
    <w:p>
      <w:pPr>
        <w:spacing w:after="80"/>
      </w:pPr>
      <w:r>
        <w:rPr>
          <w:b w:val="0"/>
          <w:color w:val="111111"/>
          <w:sz w:val="22"/>
        </w:rPr>
        <w:t>2026 business standard mileage rate: 72.5 cents per mile from Jan 1 to Jun 30, then 76 cents per mile from Jul 1 to Dec 31. Log every property trip with its purpose.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Date</w:t>
            </w:r>
          </w:p>
        </w:tc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Destination / purpose</w:t>
            </w:r>
          </w:p>
        </w:tc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Miles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</w:r>
          </w:p>
        </w:tc>
      </w:tr>
    </w:tbl>
    <w:p>
      <w:r>
        <w:rPr>
          <w:b/>
          <w:color w:val="111111"/>
          <w:sz w:val="22"/>
        </w:rPr>
        <w:t xml:space="preserve">Total miles Jan 1 to Jun 30, times 0.725 = $: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Total miles Jul 1 to Dec 31, times 0.76 = $:  </w:t>
      </w:r>
      <w:r>
        <w:rPr>
          <w:b w:val="0"/>
          <w:color w:val="111111"/>
          <w:sz w:val="22"/>
        </w:rPr>
        <w:t>________________________________________</w:t>
      </w:r>
    </w:p>
    <w:p/>
    <w:p>
      <w:pPr>
        <w:spacing w:before="220"/>
      </w:pPr>
      <w:r>
        <w:rPr>
          <w:b/>
          <w:color w:val="1C2B4A"/>
          <w:sz w:val="27"/>
        </w:rPr>
        <w:t>Year-end totals</w:t>
      </w:r>
    </w:p>
    <w:p>
      <w:r>
        <w:rPr>
          <w:b/>
          <w:color w:val="111111"/>
          <w:sz w:val="22"/>
        </w:rPr>
        <w:t xml:space="preserve">Total rental income received (include advance rent) $: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Total expenses (sum of the categories above) $: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Net rental profit or (loss) $:  </w:t>
      </w:r>
      <w:r>
        <w:rPr>
          <w:b w:val="0"/>
          <w:color w:val="111111"/>
          <w:sz w:val="22"/>
        </w:rPr>
        <w:t>________________________________________</w:t>
      </w:r>
    </w:p>
    <w:p>
      <w:pPr>
        <w:ind w:left="216"/>
      </w:pPr>
      <w:r>
        <w:rPr>
          <w:b w:val="0"/>
          <w:color w:val="111111"/>
          <w:sz w:val="22"/>
        </w:rPr>
        <w:t>☐  Backed land out of the basis before figuring depreciation</w:t>
      </w:r>
    </w:p>
    <w:p>
      <w:pPr>
        <w:ind w:left="216"/>
      </w:pPr>
      <w:r>
        <w:rPr>
          <w:b w:val="0"/>
          <w:color w:val="111111"/>
          <w:sz w:val="22"/>
        </w:rPr>
        <w:t>☐  Kept a receipt for every item, and noted the de minimis safe harbor election if used</w:t>
      </w:r>
    </w:p>
    <w:p>
      <w:pPr>
        <w:ind w:left="216"/>
      </w:pPr>
      <w:r>
        <w:rPr>
          <w:b w:val="0"/>
          <w:color w:val="111111"/>
          <w:sz w:val="22"/>
        </w:rPr>
        <w:t>☐  Logged advance rent as income in the year it was received</w:t>
      </w:r>
    </w:p>
    <w:p>
      <w:pPr>
        <w:ind w:left="216"/>
      </w:pPr>
      <w:r>
        <w:rPr>
          <w:b w:val="0"/>
          <w:color w:val="111111"/>
          <w:sz w:val="22"/>
        </w:rPr>
        <w:t>☐  Separated any personal-use share of expenses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fill="F2F5FA"/>
          </w:tcPr>
          <w:p>
            <w:r>
              <w:rPr>
                <w:b/>
                <w:color w:val="1C2B4A"/>
                <w:sz w:val="22"/>
              </w:rPr>
              <w:t>INSTRUCTIONS FOR USE</w:t>
            </w:r>
          </w:p>
          <w:p>
            <w:r>
              <w:rPr>
                <w:b w:val="0"/>
                <w:color w:val="111111"/>
                <w:sz w:val="20"/>
              </w:rPr>
              <w:t>This worksheet is general information, not legal or tax advice. Figures and thresholds change; confirm anything specific to your return with a licensed CPA or attorney. Depreciation, the $25,000 passive-loss allowance, and the repairs-versus-improvements rules are explained in full at clearlegaltips.com/landlord-tax-deductions/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4" w:space="6" w:color="D5D7DC"/>
      </w:pBdr>
    </w:pPr>
    <w:r/>
    <w:r>
      <w:rPr>
        <w:b w:val="0"/>
        <w:color w:val="111111"/>
        <w:sz w:val="16"/>
      </w:rPr>
      <w:t xml:space="preserve">clearlegaltips.com  —  free legal template   ·   Page </w:t>
    </w:r>
    <w:fldSimple w:instr="PAGE">
      <w: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28" w:space="1" w:color="1C2B4A"/>
      </w:pBdr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