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Online EIN Filing Prep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Decide the Route</w:t>
      </w:r>
    </w:p>
    <w:p>
      <w:pPr>
        <w:ind w:left="216"/>
      </w:pPr>
      <w:r>
        <w:rPr>
          <w:b w:val="0"/>
          <w:color w:val="111111"/>
          <w:sz w:val="22"/>
        </w:rPr>
        <w:t>☐  File free directly at IRS.gov (recommended)</w:t>
      </w:r>
    </w:p>
    <w:p>
      <w:pPr>
        <w:ind w:left="216"/>
      </w:pPr>
      <w:r>
        <w:rPr>
          <w:b w:val="0"/>
          <w:color w:val="111111"/>
          <w:sz w:val="22"/>
        </w:rPr>
        <w:t>☐  Use a paid third-party service</w:t>
      </w:r>
    </w:p>
    <w:p>
      <w:pPr>
        <w:spacing w:after="80"/>
      </w:pPr>
      <w:r>
        <w:rPr>
          <w:b w:val="0"/>
          <w:color w:val="111111"/>
          <w:sz w:val="22"/>
        </w:rPr>
        <w:t>▸ The IRS never charges for an EIN.</w:t>
      </w:r>
    </w:p>
    <w:p>
      <w:pPr>
        <w:spacing w:before="220"/>
      </w:pPr>
      <w:r>
        <w:rPr>
          <w:b/>
          <w:color w:val="1C2B4A"/>
          <w:sz w:val="27"/>
        </w:rPr>
        <w:t>Information Needed</w:t>
      </w:r>
    </w:p>
    <w:p>
      <w:r>
        <w:rPr>
          <w:b/>
          <w:color w:val="111111"/>
          <w:sz w:val="22"/>
        </w:rPr>
        <w:t xml:space="preserve">Legal entity name + DBA: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Responsible party name + SSN/ITIN: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Business address + start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Reason for applying: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