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Florida LLC Cost Worksheet (2026)</w:t>
      </w:r>
    </w:p>
    <w:p>
      <w:pPr>
        <w:spacing w:after="200"/>
        <w:pBdr>
          <w:bottom w:val="single" w:sz="12" w:space="2" w:color="C9A23A"/>
        </w:pBdr>
      </w:pPr>
      <w:r>
        <w:rPr>
          <w:b/>
          <w:color w:val="1C2B4A"/>
          <w:sz w:val="26"/>
        </w:rPr>
        <w:t>Every state fee to form and keep a Florida LLC, verified against the Florida Statutes</w:t>
      </w:r>
    </w:p>
    <w:p>
      <w:r>
        <w:rPr>
          <w:b/>
          <w:color w:val="1C2B4A"/>
          <w:sz w:val="27"/>
        </w:rPr>
        <w:t>FLORIDA LLC COST WORKSHEET</w:t>
      </w:r>
    </w:p>
    <w:p>
      <w:pPr>
        <w:spacing w:after="80"/>
      </w:pPr>
      <w:r>
        <w:rPr>
          <w:b w:val="0"/>
          <w:color w:val="111111"/>
          <w:sz w:val="22"/>
        </w:rPr>
        <w:t>Florida charges $125 to form an LLC ($100 Articles of Organization plus a $25 registered agent designation fee, s. 605.0213) and $138.75 each year for the annual report. Use the schedule below for the fixed fees, then fill in your own line items to get a true year-one total. Full guide and sources: clearlegaltips.com/florida-llc-filing-fee/</w:t>
      </w:r>
    </w:p>
    <w:p>
      <w:pPr>
        <w:spacing w:before="220"/>
      </w:pPr>
      <w:r>
        <w:rPr>
          <w:b/>
          <w:color w:val="1C2B4A"/>
          <w:sz w:val="27"/>
        </w:rPr>
        <w:t>Florida's fee schedule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Amount</w:t>
            </w:r>
          </w:p>
        </w:tc>
        <w:tc>
          <w:tcPr>
            <w:tcW w:type="dxa" w:w="2880"/>
            <w:shd w:val="clear" w:fill="1C2B4A"/>
          </w:tcPr>
          <w:p>
            <w:r>
              <w:rPr>
                <w:b/>
                <w:color w:val="FFFFFF"/>
                <w:sz w:val="20"/>
              </w:rPr>
              <w:t>When</w:t>
            </w:r>
          </w:p>
        </w:tc>
      </w:tr>
      <w:tr>
        <w:tc>
          <w:tcPr>
            <w:tcW w:type="dxa" w:w="2880"/>
          </w:tcPr>
          <w:p>
            <w:r>
              <w:rPr>
                <w:b w:val="0"/>
                <w:color w:val="111111"/>
                <w:sz w:val="20"/>
              </w:rPr>
              <w:t>Articles of Organization</w:t>
            </w:r>
          </w:p>
        </w:tc>
        <w:tc>
          <w:tcPr>
            <w:tcW w:type="dxa" w:w="2880"/>
          </w:tcPr>
          <w:p>
            <w:r>
              <w:rPr>
                <w:b w:val="0"/>
                <w:color w:val="111111"/>
                <w:sz w:val="20"/>
              </w:rPr>
              <w:t>$100</w:t>
            </w:r>
          </w:p>
        </w:tc>
        <w:tc>
          <w:tcPr>
            <w:tcW w:type="dxa" w:w="2880"/>
          </w:tcPr>
          <w:p>
            <w:r>
              <w:rPr>
                <w:b w:val="0"/>
                <w:color w:val="111111"/>
                <w:sz w:val="20"/>
              </w:rPr>
              <w:t>Once, at filing</w:t>
            </w:r>
          </w:p>
        </w:tc>
      </w:tr>
      <w:tr>
        <w:tc>
          <w:tcPr>
            <w:tcW w:type="dxa" w:w="2880"/>
          </w:tcPr>
          <w:p>
            <w:r>
              <w:rPr>
                <w:b w:val="0"/>
                <w:color w:val="111111"/>
                <w:sz w:val="20"/>
              </w:rPr>
              <w:t>Registered agent designation</w:t>
            </w:r>
          </w:p>
        </w:tc>
        <w:tc>
          <w:tcPr>
            <w:tcW w:type="dxa" w:w="2880"/>
          </w:tcPr>
          <w:p>
            <w:r>
              <w:rPr>
                <w:b w:val="0"/>
                <w:color w:val="111111"/>
                <w:sz w:val="20"/>
              </w:rPr>
              <w:t>$25</w:t>
            </w:r>
          </w:p>
        </w:tc>
        <w:tc>
          <w:tcPr>
            <w:tcW w:type="dxa" w:w="2880"/>
          </w:tcPr>
          <w:p>
            <w:r>
              <w:rPr>
                <w:b w:val="0"/>
                <w:color w:val="111111"/>
                <w:sz w:val="20"/>
              </w:rPr>
              <w:t>Once, at filing (required; part of the $125)</w:t>
            </w:r>
          </w:p>
        </w:tc>
      </w:tr>
      <w:tr>
        <w:tc>
          <w:tcPr>
            <w:tcW w:type="dxa" w:w="2880"/>
          </w:tcPr>
          <w:p>
            <w:r>
              <w:rPr>
                <w:b w:val="0"/>
                <w:color w:val="111111"/>
                <w:sz w:val="20"/>
              </w:rPr>
              <w:t>Certified copy of articles (optional)</w:t>
            </w:r>
          </w:p>
        </w:tc>
        <w:tc>
          <w:tcPr>
            <w:tcW w:type="dxa" w:w="2880"/>
          </w:tcPr>
          <w:p>
            <w:r>
              <w:rPr>
                <w:b w:val="0"/>
                <w:color w:val="111111"/>
                <w:sz w:val="20"/>
              </w:rPr>
              <w:t>$30</w:t>
            </w:r>
          </w:p>
        </w:tc>
        <w:tc>
          <w:tcPr>
            <w:tcW w:type="dxa" w:w="2880"/>
          </w:tcPr>
          <w:p>
            <w:r>
              <w:rPr>
                <w:b w:val="0"/>
                <w:color w:val="111111"/>
                <w:sz w:val="20"/>
              </w:rPr>
              <w:t>At filing or later</w:t>
            </w:r>
          </w:p>
        </w:tc>
      </w:tr>
      <w:tr>
        <w:tc>
          <w:tcPr>
            <w:tcW w:type="dxa" w:w="2880"/>
          </w:tcPr>
          <w:p>
            <w:r>
              <w:rPr>
                <w:b w:val="0"/>
                <w:color w:val="111111"/>
                <w:sz w:val="20"/>
              </w:rPr>
              <w:t>Certificate of status (optional)</w:t>
            </w:r>
          </w:p>
        </w:tc>
        <w:tc>
          <w:tcPr>
            <w:tcW w:type="dxa" w:w="2880"/>
          </w:tcPr>
          <w:p>
            <w:r>
              <w:rPr>
                <w:b w:val="0"/>
                <w:color w:val="111111"/>
                <w:sz w:val="20"/>
              </w:rPr>
              <w:t>$5</w:t>
            </w:r>
          </w:p>
        </w:tc>
        <w:tc>
          <w:tcPr>
            <w:tcW w:type="dxa" w:w="2880"/>
          </w:tcPr>
          <w:p>
            <w:r>
              <w:rPr>
                <w:b w:val="0"/>
                <w:color w:val="111111"/>
                <w:sz w:val="20"/>
              </w:rPr>
              <w:t>At filing or later</w:t>
            </w:r>
          </w:p>
        </w:tc>
      </w:tr>
      <w:tr>
        <w:tc>
          <w:tcPr>
            <w:tcW w:type="dxa" w:w="2880"/>
          </w:tcPr>
          <w:p>
            <w:r>
              <w:rPr>
                <w:b w:val="0"/>
                <w:color w:val="111111"/>
                <w:sz w:val="20"/>
              </w:rPr>
              <w:t>Annual report</w:t>
            </w:r>
          </w:p>
        </w:tc>
        <w:tc>
          <w:tcPr>
            <w:tcW w:type="dxa" w:w="2880"/>
          </w:tcPr>
          <w:p>
            <w:r>
              <w:rPr>
                <w:b w:val="0"/>
                <w:color w:val="111111"/>
                <w:sz w:val="20"/>
              </w:rPr>
              <w:t>$138.75 ($50 + $88.75)</w:t>
            </w:r>
          </w:p>
        </w:tc>
        <w:tc>
          <w:tcPr>
            <w:tcW w:type="dxa" w:w="2880"/>
          </w:tcPr>
          <w:p>
            <w:r>
              <w:rPr>
                <w:b w:val="0"/>
                <w:color w:val="111111"/>
                <w:sz w:val="20"/>
              </w:rPr>
              <w:t>Every year, January 1 to May 1</w:t>
            </w:r>
          </w:p>
        </w:tc>
      </w:tr>
      <w:tr>
        <w:tc>
          <w:tcPr>
            <w:tcW w:type="dxa" w:w="2880"/>
          </w:tcPr>
          <w:p>
            <w:r>
              <w:rPr>
                <w:b w:val="0"/>
                <w:color w:val="111111"/>
                <w:sz w:val="20"/>
              </w:rPr>
              <w:t>Late charge</w:t>
            </w:r>
          </w:p>
        </w:tc>
        <w:tc>
          <w:tcPr>
            <w:tcW w:type="dxa" w:w="2880"/>
          </w:tcPr>
          <w:p>
            <w:r>
              <w:rPr>
                <w:b w:val="0"/>
                <w:color w:val="111111"/>
                <w:sz w:val="20"/>
              </w:rPr>
              <w:t>+$400 (total $538.75)</w:t>
            </w:r>
          </w:p>
        </w:tc>
        <w:tc>
          <w:tcPr>
            <w:tcW w:type="dxa" w:w="2880"/>
          </w:tcPr>
          <w:p>
            <w:r>
              <w:rPr>
                <w:b w:val="0"/>
                <w:color w:val="111111"/>
                <w:sz w:val="20"/>
              </w:rPr>
              <w:t>Report filed after May 1</w:t>
            </w:r>
          </w:p>
        </w:tc>
      </w:tr>
      <w:tr>
        <w:tc>
          <w:tcPr>
            <w:tcW w:type="dxa" w:w="2880"/>
          </w:tcPr>
          <w:p>
            <w:r>
              <w:rPr>
                <w:b w:val="0"/>
                <w:color w:val="111111"/>
                <w:sz w:val="20"/>
              </w:rPr>
              <w:t>Reinstatement</w:t>
            </w:r>
          </w:p>
        </w:tc>
        <w:tc>
          <w:tcPr>
            <w:tcW w:type="dxa" w:w="2880"/>
          </w:tcPr>
          <w:p>
            <w:r>
              <w:rPr>
                <w:b w:val="0"/>
                <w:color w:val="111111"/>
                <w:sz w:val="20"/>
              </w:rPr>
              <w:t>$100 + each missed annual report</w:t>
            </w:r>
          </w:p>
        </w:tc>
        <w:tc>
          <w:tcPr>
            <w:tcW w:type="dxa" w:w="2880"/>
          </w:tcPr>
          <w:p>
            <w:r>
              <w:rPr>
                <w:b w:val="0"/>
                <w:color w:val="111111"/>
                <w:sz w:val="20"/>
              </w:rPr>
              <w:t>After administrative dissolution</w:t>
            </w:r>
          </w:p>
        </w:tc>
      </w:tr>
      <w:tr>
        <w:tc>
          <w:tcPr>
            <w:tcW w:type="dxa" w:w="2880"/>
          </w:tcPr>
          <w:p>
            <w:r>
              <w:rPr>
                <w:b w:val="0"/>
                <w:color w:val="111111"/>
                <w:sz w:val="20"/>
              </w:rPr>
              <w:t>Fictitious name / DBA (optional)</w:t>
            </w:r>
          </w:p>
        </w:tc>
        <w:tc>
          <w:tcPr>
            <w:tcW w:type="dxa" w:w="2880"/>
          </w:tcPr>
          <w:p>
            <w:r>
              <w:rPr>
                <w:b w:val="0"/>
                <w:color w:val="111111"/>
                <w:sz w:val="20"/>
              </w:rPr>
              <w:t>$50, plus $50 renewal</w:t>
            </w:r>
          </w:p>
        </w:tc>
        <w:tc>
          <w:tcPr>
            <w:tcW w:type="dxa" w:w="2880"/>
          </w:tcPr>
          <w:p>
            <w:r>
              <w:rPr>
                <w:b w:val="0"/>
                <w:color w:val="111111"/>
                <w:sz w:val="20"/>
              </w:rPr>
              <w:t>Valid through December 31 of the 5th year after registration</w:t>
            </w:r>
          </w:p>
        </w:tc>
      </w:tr>
    </w:tbl>
    <w:p/>
    <w:p>
      <w:pPr>
        <w:spacing w:before="220"/>
      </w:pPr>
      <w:r>
        <w:rPr>
          <w:b/>
          <w:color w:val="1C2B4A"/>
          <w:sz w:val="27"/>
        </w:rPr>
        <w:t>Your own line items</w:t>
      </w:r>
    </w:p>
    <w:p>
      <w:r>
        <w:rPr>
          <w:b/>
          <w:color w:val="111111"/>
          <w:sz w:val="22"/>
        </w:rPr>
        <w:t xml:space="preserve">Certified copy of articles? ($30 or $0):  </w:t>
      </w:r>
      <w:r>
        <w:rPr>
          <w:b w:val="0"/>
          <w:color w:val="111111"/>
          <w:sz w:val="22"/>
        </w:rPr>
        <w:t>________________________________________</w:t>
      </w:r>
    </w:p>
    <w:p>
      <w:r>
        <w:rPr>
          <w:b/>
          <w:color w:val="111111"/>
          <w:sz w:val="22"/>
        </w:rPr>
        <w:t xml:space="preserve">Certificate of status? ($5 or $0):  </w:t>
      </w:r>
      <w:r>
        <w:rPr>
          <w:b w:val="0"/>
          <w:color w:val="111111"/>
          <w:sz w:val="22"/>
        </w:rPr>
        <w:t>________________________________________</w:t>
      </w:r>
    </w:p>
    <w:p>
      <w:r>
        <w:rPr>
          <w:b/>
          <w:color w:val="111111"/>
          <w:sz w:val="22"/>
        </w:rPr>
        <w:t xml:space="preserve">Fictitious name / DBA? ($50 or $0; add the one-time newspaper ad, priced by the paper):  </w:t>
      </w:r>
      <w:r>
        <w:rPr>
          <w:b w:val="0"/>
          <w:color w:val="111111"/>
          <w:sz w:val="22"/>
        </w:rPr>
        <w:t>________________________________________</w:t>
      </w:r>
    </w:p>
    <w:p>
      <w:r>
        <w:rPr>
          <w:b/>
          <w:color w:val="111111"/>
          <w:sz w:val="22"/>
        </w:rPr>
        <w:t xml:space="preserve">Private registered agent service? ($0 if you serve as your own agent):  </w:t>
      </w:r>
      <w:r>
        <w:rPr>
          <w:b w:val="0"/>
          <w:color w:val="111111"/>
          <w:sz w:val="22"/>
        </w:rPr>
        <w:t>________________________________________</w:t>
      </w:r>
    </w:p>
    <w:p>
      <w:r>
        <w:rPr>
          <w:b/>
          <w:color w:val="111111"/>
          <w:sz w:val="22"/>
        </w:rPr>
        <w:t xml:space="preserve">Local business licenses or permits, if any ($):  </w:t>
      </w:r>
      <w:r>
        <w:rPr>
          <w:b w:val="0"/>
          <w:color w:val="111111"/>
          <w:sz w:val="22"/>
        </w:rPr>
        <w:t>________________________________________</w:t>
      </w:r>
    </w:p>
    <w:p>
      <w:r>
        <w:rPr>
          <w:b/>
          <w:color w:val="111111"/>
          <w:sz w:val="22"/>
        </w:rPr>
        <w:t xml:space="preserve">Year-one total: $125 + the lines above ($):  </w:t>
      </w:r>
      <w:r>
        <w:rPr>
          <w:b w:val="0"/>
          <w:color w:val="111111"/>
          <w:sz w:val="22"/>
        </w:rPr>
        <w:t>________________________________________</w:t>
      </w:r>
    </w:p>
    <w:p/>
    <w:p>
      <w:pPr>
        <w:spacing w:before="220"/>
      </w:pPr>
      <w:r>
        <w:rPr>
          <w:b/>
          <w:color w:val="1C2B4A"/>
          <w:sz w:val="27"/>
        </w:rPr>
        <w:t>The recurring calendar</w:t>
      </w:r>
    </w:p>
    <w:p>
      <w:pPr>
        <w:ind w:left="360"/>
      </w:pPr>
      <w:r>
        <w:rPr>
          <w:b w:val="0"/>
          <w:color w:val="111111"/>
          <w:sz w:val="22"/>
        </w:rPr>
        <w:t>•  January 1: the annual report window opens. Your first report is due the year after the calendar year your articles became effective (s. 605.0212).</w:t>
      </w:r>
    </w:p>
    <w:p>
      <w:pPr>
        <w:ind w:left="360"/>
      </w:pPr>
      <w:r>
        <w:rPr>
          <w:b w:val="0"/>
          <w:color w:val="111111"/>
          <w:sz w:val="22"/>
        </w:rPr>
        <w:t>•  May 1: deadline to file the $138.75 annual report (s. 605.0213(5) + s. 607.193).</w:t>
      </w:r>
    </w:p>
    <w:p>
      <w:pPr>
        <w:ind w:left="360"/>
      </w:pPr>
      <w:r>
        <w:rPr>
          <w:b w:val="0"/>
          <w:color w:val="111111"/>
          <w:sz w:val="22"/>
        </w:rPr>
        <w:t>•  After May 1: a $400 statutory late charge applies; the report now costs $538.75.</w:t>
      </w:r>
    </w:p>
    <w:p>
      <w:pPr>
        <w:ind w:left="360"/>
      </w:pPr>
      <w:r>
        <w:rPr>
          <w:b w:val="0"/>
          <w:color w:val="111111"/>
          <w:sz w:val="22"/>
        </w:rPr>
        <w:t>•  Third Friday in September, 5:00 p.m. ET: if the report still has not been delivered, the Department of State may administratively dissolve the LLC (s. 605.0714). Reinstatement is $100 plus every missed report.</w:t>
      </w:r>
    </w:p>
    <w:p>
      <w:r>
        <w:rPr>
          <w:b/>
          <w:color w:val="111111"/>
          <w:sz w:val="22"/>
        </w:rPr>
        <w:t xml:space="preserve">Annual report reminder set for (date):  </w:t>
      </w:r>
      <w:r>
        <w:rPr>
          <w:b w:val="0"/>
          <w:color w:val="111111"/>
          <w:sz w:val="22"/>
        </w:rPr>
        <w:t>________________________________________</w:t>
      </w:r>
    </w:p>
    <w:p>
      <w:r>
        <w:rPr>
          <w:b/>
          <w:color w:val="111111"/>
          <w:sz w:val="22"/>
        </w:rPr>
        <w:t xml:space="preserve">Who files it (you / accountant / other):  </w:t>
      </w:r>
      <w:r>
        <w:rPr>
          <w:b w:val="0"/>
          <w:color w:val="111111"/>
          <w:sz w:val="22"/>
        </w:rPr>
        <w:t>________________________________________</w:t>
      </w:r>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Every figure above was verified against the Florida Statutes (chapter 605, s. 607.193, and s. 865.09) in 2026. Fees can change, so confirm current amounts on Florida's official sources before you pay. Forming in October, November, or December? Your articles can name a January 1 effective date (up to 90 days out, s. 605.0207), which moves your first annual report a full year later. This worksheet is general information, not legal or tax advice; for advice on your situation, consult a licensed Florida attorney or CPA. The maintained guide lives at clearlegaltips.com/florida-llc-filing-fee/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