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End User License Agreement</w:t>
      </w:r>
    </w:p>
    <w:p>
      <w:pPr>
        <w:spacing w:after="200"/>
      </w:pPr>
      <w:r>
        <w:rPr>
          <w:b/>
          <w:color w:val="C9A23A"/>
          <w:sz w:val="28"/>
        </w:rPr>
        <w:t>Free Fillable Legal Template — ClearLegalTips.com (2026)</w:t>
      </w:r>
    </w:p>
    <w:p>
      <w:r>
        <w:rPr>
          <w:b/>
          <w:color w:val="1C2B4A"/>
          <w:sz w:val="27"/>
        </w:rPr>
        <w:t>End User License Agreement (EULA)</w:t>
      </w:r>
    </w:p>
    <w:p>
      <w:r>
        <w:rPr>
          <w:b w:val="0"/>
          <w:color w:val="222222"/>
          <w:sz w:val="22"/>
        </w:rPr>
        <w:t>This agreement licenses your software to end users while you keep ownership. Complete the bracketed fields, strike what does not apply, present it in your install or first-run flow with an I Agree action, and log each acceptance with the version accepted.</w:t>
      </w:r>
    </w:p>
    <w:p>
      <w:pPr>
        <w:spacing w:before="160"/>
      </w:pPr>
      <w:r>
        <w:rPr>
          <w:b/>
          <w:color w:val="1C2B4A"/>
          <w:sz w:val="27"/>
        </w:rPr>
        <w:t>1. Parties &amp; Product</w:t>
      </w:r>
    </w:p>
    <w:p>
      <w:r>
        <w:rPr>
          <w:b/>
          <w:color w:val="222222"/>
          <w:sz w:val="22"/>
        </w:rPr>
        <w:t xml:space="preserve">Licensor (legal company or developer name) / address / contact email:  </w:t>
      </w:r>
      <w:r>
        <w:rPr>
          <w:b w:val="0"/>
          <w:color w:val="222222"/>
          <w:sz w:val="22"/>
        </w:rPr>
        <w:t>________________________________________</w:t>
      </w:r>
    </w:p>
    <w:p>
      <w:r>
        <w:rPr>
          <w:b/>
          <w:color w:val="222222"/>
          <w:sz w:val="22"/>
        </w:rPr>
        <w:t xml:space="preserve">Product name and covered versions:  </w:t>
      </w:r>
      <w:r>
        <w:rPr>
          <w:b w:val="0"/>
          <w:color w:val="222222"/>
          <w:sz w:val="22"/>
        </w:rPr>
        <w:t>________________________________________</w:t>
      </w:r>
    </w:p>
    <w:p>
      <w:r>
        <w:rPr>
          <w:b/>
          <w:color w:val="222222"/>
          <w:sz w:val="22"/>
        </w:rPr>
        <w:t xml:space="preserve">Effective date / EULA version number:  </w:t>
      </w:r>
      <w:r>
        <w:rPr>
          <w:b w:val="0"/>
          <w:color w:val="222222"/>
          <w:sz w:val="22"/>
        </w:rPr>
        <w:t>________________________________________</w:t>
      </w:r>
    </w:p>
    <w:p>
      <w:pPr>
        <w:spacing w:before="160"/>
      </w:pPr>
      <w:r>
        <w:rPr>
          <w:b/>
          <w:color w:val="1C2B4A"/>
          <w:sz w:val="27"/>
        </w:rPr>
        <w:t>2. License Grant</w:t>
      </w:r>
    </w:p>
    <w:p>
      <w:r>
        <w:rPr>
          <w:b/>
          <w:color w:val="222222"/>
          <w:sz w:val="22"/>
        </w:rPr>
        <w:t>Subject to compliance with this Agreement, Licensor grants the user a limited, non-exclusive, non-transferable, revocable license to install and use the Product in object-code form, solely as described below. The Product is licensed, not sold; all rights not expressly granted are reserved.</w:t>
      </w:r>
    </w:p>
    <w:p>
      <w:r>
        <w:rPr>
          <w:b/>
          <w:color w:val="222222"/>
          <w:sz w:val="22"/>
        </w:rPr>
        <w:t xml:space="preserve">Number of devices or seats permitted:  </w:t>
      </w:r>
      <w:r>
        <w:rPr>
          <w:b w:val="0"/>
          <w:color w:val="222222"/>
          <w:sz w:val="22"/>
        </w:rPr>
        <w:t>________________________________________</w:t>
      </w:r>
    </w:p>
    <w:p>
      <w:pPr>
        <w:ind w:left="216"/>
      </w:pPr>
      <w:r>
        <w:rPr>
          <w:b w:val="0"/>
          <w:color w:val="222222"/>
          <w:sz w:val="22"/>
        </w:rPr>
        <w:t>☐  Personal, non-commercial use only</w:t>
      </w:r>
    </w:p>
    <w:p>
      <w:pPr>
        <w:ind w:left="216"/>
      </w:pPr>
      <w:r>
        <w:rPr>
          <w:b w:val="0"/>
          <w:color w:val="222222"/>
          <w:sz w:val="22"/>
        </w:rPr>
        <w:t>☐  Internal business use permitted</w:t>
      </w:r>
    </w:p>
    <w:p>
      <w:pPr>
        <w:spacing w:before="160"/>
      </w:pPr>
      <w:r>
        <w:rPr>
          <w:b/>
          <w:color w:val="1C2B4A"/>
          <w:sz w:val="27"/>
        </w:rPr>
        <w:t>3. Restrictions</w:t>
      </w:r>
    </w:p>
    <w:p>
      <w:pPr>
        <w:ind w:left="216"/>
      </w:pPr>
      <w:r>
        <w:rPr>
          <w:b w:val="0"/>
          <w:color w:val="222222"/>
          <w:sz w:val="22"/>
        </w:rPr>
        <w:t>☐  No copying beyond the license grant and lawful backup</w:t>
      </w:r>
    </w:p>
    <w:p>
      <w:pPr>
        <w:ind w:left="216"/>
      </w:pPr>
      <w:r>
        <w:rPr>
          <w:b w:val="0"/>
          <w:color w:val="222222"/>
          <w:sz w:val="22"/>
        </w:rPr>
        <w:t>☐  No reverse engineering, decompiling, or disassembly, except where permitted by law</w:t>
      </w:r>
    </w:p>
    <w:p>
      <w:pPr>
        <w:ind w:left="216"/>
      </w:pPr>
      <w:r>
        <w:rPr>
          <w:b w:val="0"/>
          <w:color w:val="222222"/>
          <w:sz w:val="22"/>
        </w:rPr>
        <w:t>☐  No redistribution, resale, rental, or sublicensing</w:t>
      </w:r>
    </w:p>
    <w:p>
      <w:pPr>
        <w:ind w:left="216"/>
      </w:pPr>
      <w:r>
        <w:rPr>
          <w:b w:val="0"/>
          <w:color w:val="222222"/>
          <w:sz w:val="22"/>
        </w:rPr>
        <w:t>☐  No removal of copyright or proprietary notices</w:t>
      </w:r>
    </w:p>
    <w:p>
      <w:r>
        <w:rPr>
          <w:b/>
          <w:color w:val="222222"/>
          <w:sz w:val="22"/>
        </w:rPr>
        <w:t xml:space="preserve">Product-specific restrictions (e.g., no automated scraping, no cheat tools):  </w:t>
      </w:r>
      <w:r>
        <w:rPr>
          <w:b w:val="0"/>
          <w:color w:val="222222"/>
          <w:sz w:val="22"/>
        </w:rPr>
        <w:t>________________________________________</w:t>
      </w:r>
    </w:p>
    <w:p>
      <w:pPr>
        <w:spacing w:before="160"/>
      </w:pPr>
      <w:r>
        <w:rPr>
          <w:b/>
          <w:color w:val="1C2B4A"/>
          <w:sz w:val="27"/>
        </w:rPr>
        <w:t>4. Ownership &amp; Third-Party Components</w:t>
      </w:r>
    </w:p>
    <w:p>
      <w:r>
        <w:rPr>
          <w:b/>
          <w:color w:val="222222"/>
          <w:sz w:val="22"/>
        </w:rPr>
        <w:t>Licensor and its licensors retain all right, title, and interest in the Product, including all intellectual property rights. Open-source or third-party components included with the Product are governed by their own licenses, which control for those components.</w:t>
      </w:r>
    </w:p>
    <w:p>
      <w:r>
        <w:rPr>
          <w:b/>
          <w:color w:val="222222"/>
          <w:sz w:val="22"/>
        </w:rPr>
        <w:t xml:space="preserve">Location of third-party / open-source license notices (file or URL):  </w:t>
      </w:r>
      <w:r>
        <w:rPr>
          <w:b w:val="0"/>
          <w:color w:val="222222"/>
          <w:sz w:val="22"/>
        </w:rPr>
        <w:t>________________________________________</w:t>
      </w:r>
    </w:p>
    <w:p>
      <w:pPr>
        <w:spacing w:before="160"/>
      </w:pPr>
      <w:r>
        <w:rPr>
          <w:b/>
          <w:color w:val="1C2B4A"/>
          <w:sz w:val="27"/>
        </w:rPr>
        <w:t>5. Privacy &amp; Data</w:t>
      </w:r>
    </w:p>
    <w:p>
      <w:r>
        <w:rPr>
          <w:b/>
          <w:color w:val="222222"/>
          <w:sz w:val="22"/>
        </w:rPr>
        <w:t>The Product's collection and use of personal data is governed by the Licensor's Privacy Policy, which is incorporated by reference. In case of conflict about data practices, the Privacy Policy controls.</w:t>
      </w:r>
    </w:p>
    <w:p>
      <w:r>
        <w:rPr>
          <w:b/>
          <w:color w:val="222222"/>
          <w:sz w:val="22"/>
        </w:rPr>
        <w:t xml:space="preserve">Privacy Policy URL:  </w:t>
      </w:r>
      <w:r>
        <w:rPr>
          <w:b w:val="0"/>
          <w:color w:val="222222"/>
          <w:sz w:val="22"/>
        </w:rPr>
        <w:t>________________________________________</w:t>
      </w:r>
    </w:p>
    <w:p>
      <w:r>
        <w:rPr>
          <w:b/>
          <w:color w:val="222222"/>
          <w:sz w:val="22"/>
        </w:rPr>
        <w:t xml:space="preserve">Brief summary of data the Product handles (accounts, analytics, crash logs):  </w:t>
      </w:r>
      <w:r>
        <w:rPr>
          <w:b w:val="0"/>
          <w:color w:val="222222"/>
          <w:sz w:val="22"/>
        </w:rPr>
        <w:t>________________________________________</w:t>
      </w:r>
    </w:p>
    <w:p>
      <w:pPr>
        <w:spacing w:before="160"/>
      </w:pPr>
      <w:r>
        <w:rPr>
          <w:b/>
          <w:color w:val="1C2B4A"/>
          <w:sz w:val="27"/>
        </w:rPr>
        <w:t>6. Updates &amp; Support</w:t>
      </w:r>
    </w:p>
    <w:p>
      <w:pPr>
        <w:ind w:left="216"/>
      </w:pPr>
      <w:r>
        <w:rPr>
          <w:b w:val="0"/>
          <w:color w:val="222222"/>
          <w:sz w:val="22"/>
        </w:rPr>
        <w:t>☐  Updates provided at Licensor's discretion and may modify features</w:t>
      </w:r>
    </w:p>
    <w:p>
      <w:r>
        <w:rPr>
          <w:b/>
          <w:color w:val="222222"/>
          <w:sz w:val="22"/>
        </w:rPr>
        <w:t xml:space="preserve">Support provided (channel and scope), if any:  </w:t>
      </w:r>
      <w:r>
        <w:rPr>
          <w:b w:val="0"/>
          <w:color w:val="222222"/>
          <w:sz w:val="22"/>
        </w:rPr>
        <w:t>________________________________________</w:t>
      </w:r>
    </w:p>
    <w:p>
      <w:pPr>
        <w:spacing w:before="160"/>
      </w:pPr>
      <w:r>
        <w:rPr>
          <w:b/>
          <w:color w:val="1C2B4A"/>
          <w:sz w:val="27"/>
        </w:rPr>
        <w:t>7. Term &amp; Termination</w:t>
      </w:r>
    </w:p>
    <w:p>
      <w:r>
        <w:rPr>
          <w:b/>
          <w:color w:val="222222"/>
          <w:sz w:val="22"/>
        </w:rPr>
        <w:t>This license continues until terminated. It terminates automatically if the user breaches this Agreement. On termination, the user must stop using the Product and delete all copies.</w:t>
      </w:r>
    </w:p>
    <w:p>
      <w:r>
        <w:rPr>
          <w:b/>
          <w:color w:val="222222"/>
          <w:sz w:val="22"/>
        </w:rPr>
        <w:t xml:space="preserve">Additional termination terms, if any:  </w:t>
      </w:r>
      <w:r>
        <w:rPr>
          <w:b w:val="0"/>
          <w:color w:val="222222"/>
          <w:sz w:val="22"/>
        </w:rPr>
        <w:t>________________________________________</w:t>
      </w:r>
    </w:p>
    <w:p>
      <w:pPr>
        <w:spacing w:before="160"/>
      </w:pPr>
      <w:r>
        <w:rPr>
          <w:b/>
          <w:color w:val="1C2B4A"/>
          <w:sz w:val="27"/>
        </w:rPr>
        <w:t>8. Warranty Disclaimer</w:t>
      </w:r>
    </w:p>
    <w:p>
      <w:r>
        <w:rPr>
          <w:b/>
          <w:color w:val="222222"/>
          <w:sz w:val="22"/>
        </w:rPr>
        <w:t>TO THE MAXIMUM EXTENT PERMITTED BY APPLICABLE LAW, THE PRODUCT IS PROVIDED AS IS AND AS AVAILABLE, WITHOUT WARRANTIES OF ANY KIND, EXPRESS OR IMPLIED, INCLUDING MERCHANTABILITY, FITNESS FOR A PARTICULAR PURPOSE, AND NON-INFRINGEMENT. SOME JURISDICTIONS DO NOT ALLOW CERTAIN WARRANTY EXCLUSIONS, SO PARTS OF THIS SECTION MAY NOT APPLY.</w:t>
      </w:r>
    </w:p>
    <w:p>
      <w:pPr>
        <w:spacing w:before="160"/>
      </w:pPr>
      <w:r>
        <w:rPr>
          <w:b/>
          <w:color w:val="1C2B4A"/>
          <w:sz w:val="27"/>
        </w:rPr>
        <w:t>9. Limitation of Liability</w:t>
      </w:r>
    </w:p>
    <w:p>
      <w:r>
        <w:rPr>
          <w:b/>
          <w:color w:val="222222"/>
          <w:sz w:val="22"/>
        </w:rPr>
        <w:t>TO THE MAXIMUM EXTENT PERMITTED BY APPLICABLE LAW, LICENSOR WILL NOT BE LIABLE FOR INDIRECT, INCIDENTAL, SPECIAL, OR CONSEQUENTIAL DAMAGES, AND LICENSOR'S TOTAL LIABILITY WILL NOT EXCEED THE AMOUNT STATED BELOW. THESE LIMITS DO NOT APPLY WHERE PROHIBITED BY CONSUMER-PROTECTION LAW.</w:t>
      </w:r>
    </w:p>
    <w:p>
      <w:r>
        <w:rPr>
          <w:b/>
          <w:color w:val="222222"/>
          <w:sz w:val="22"/>
        </w:rPr>
        <w:t xml:space="preserve">Liability cap (commonly the price paid for the Product, or a fixed amount):  </w:t>
      </w:r>
      <w:r>
        <w:rPr>
          <w:b w:val="0"/>
          <w:color w:val="222222"/>
          <w:sz w:val="22"/>
        </w:rPr>
        <w:t>________________________________________</w:t>
      </w:r>
    </w:p>
    <w:p>
      <w:pPr>
        <w:spacing w:before="160"/>
      </w:pPr>
      <w:r>
        <w:rPr>
          <w:b/>
          <w:color w:val="1C2B4A"/>
          <w:sz w:val="27"/>
        </w:rPr>
        <w:t>10. Export &amp; Compliance</w:t>
      </w:r>
    </w:p>
    <w:p>
      <w:pPr>
        <w:ind w:left="216"/>
      </w:pPr>
      <w:r>
        <w:rPr>
          <w:b w:val="0"/>
          <w:color w:val="222222"/>
          <w:sz w:val="22"/>
        </w:rPr>
        <w:t>☐  The user may not use or export the Product in violation of U.S. export laws and sanctions (include when distributing internationally)</w:t>
      </w:r>
    </w:p>
    <w:p>
      <w:pPr>
        <w:spacing w:before="160"/>
      </w:pPr>
      <w:r>
        <w:rPr>
          <w:b/>
          <w:color w:val="1C2B4A"/>
          <w:sz w:val="27"/>
        </w:rPr>
        <w:t>11. Governing Law &amp; Disputes</w:t>
      </w:r>
    </w:p>
    <w:p>
      <w:r>
        <w:rPr>
          <w:b/>
          <w:color w:val="222222"/>
          <w:sz w:val="22"/>
        </w:rPr>
        <w:t xml:space="preserve">Governing law (state):  </w:t>
      </w:r>
      <w:r>
        <w:rPr>
          <w:b w:val="0"/>
          <w:color w:val="222222"/>
          <w:sz w:val="22"/>
        </w:rPr>
        <w:t>________________________________________</w:t>
      </w:r>
    </w:p>
    <w:p>
      <w:r>
        <w:rPr>
          <w:b/>
          <w:color w:val="222222"/>
          <w:sz w:val="22"/>
        </w:rPr>
        <w:t xml:space="preserve">Dispute forum or process (courts of ____ / arbitration):  </w:t>
      </w:r>
      <w:r>
        <w:rPr>
          <w:b w:val="0"/>
          <w:color w:val="222222"/>
          <w:sz w:val="22"/>
        </w:rPr>
        <w:t>________________________________________</w:t>
      </w:r>
    </w:p>
    <w:p>
      <w:pPr>
        <w:spacing w:before="160"/>
      </w:pPr>
      <w:r>
        <w:rPr>
          <w:b/>
          <w:color w:val="1C2B4A"/>
          <w:sz w:val="27"/>
        </w:rPr>
        <w:t>12. Acceptance</w:t>
      </w:r>
    </w:p>
    <w:p>
      <w:r>
        <w:rPr>
          <w:b/>
          <w:color w:val="222222"/>
          <w:sz w:val="22"/>
        </w:rPr>
        <w:t>By clicking I Agree, or by installing or using the Product, the user acknowledges reading this Agreement and agrees to be bound by it.</w:t>
      </w:r>
    </w:p>
    <w:p>
      <w:r>
        <w:rPr>
          <w:b/>
          <w:color w:val="222222"/>
          <w:sz w:val="22"/>
        </w:rPr>
        <w:t xml:space="preserve">Where assent is captured (install screen / first run / account signup):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Present this EULA before first use with a clear I Agree action and keep an acceptance log (user, timestamp, EULA version). Keep it consistent with your privacy policy, terms of service, and any app-store minimum terms, and do not claim ownership of open-source components. This template is provided for informational purposes only and does not constitute legal advice. Laws vary by jurisdiction and change over time; for guidance on your specific product, consult a licensed software attorney.</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