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Estate Tax Exposure Worksheet</w:t>
      </w:r>
    </w:p>
    <w:p>
      <w:pPr>
        <w:spacing w:after="200"/>
        <w:pBdr>
          <w:bottom w:val="single" w:sz="12" w:space="2" w:color="C9A23A"/>
        </w:pBdr>
      </w:pPr>
      <w:r>
        <w:rPr>
          <w:b/>
          <w:color w:val="1C2B4A"/>
          <w:sz w:val="26"/>
        </w:rPr>
        <w:t>Fillable Planning Worksheet — ClearLegalTips.com (2026)</w:t>
      </w:r>
    </w:p>
    <w:p>
      <w:pPr>
        <w:spacing w:after="80"/>
      </w:pPr>
      <w:r>
        <w:rPr>
          <w:b w:val="0"/>
          <w:color w:val="111111"/>
          <w:sz w:val="22"/>
        </w:rPr>
        <w:t>Estimate whether your estate may owe federal or state estate tax. Most estates owe nothing federally, but several states have lower thresholds. Enter values below to total your gross estate, then compare the result to the federal exemption and your state's threshold.</w:t>
      </w:r>
    </w:p>
    <w:p/>
    <w:p>
      <w:r>
        <w:rPr>
          <w:b/>
          <w:color w:val="111111"/>
          <w:sz w:val="22"/>
        </w:rPr>
        <w:t>Federal reference (2026)</w:t>
      </w:r>
    </w:p>
    <w:p>
      <w:pPr>
        <w:spacing w:after="80"/>
      </w:pPr>
      <w:r>
        <w:rPr>
          <w:b w:val="0"/>
          <w:color w:val="111111"/>
          <w:sz w:val="22"/>
        </w:rPr>
        <w:t>Federal exemption: $15 million per person ($30 million per married couple using portability). Only the amount above the exemption is taxed, at graduated rates up to 40%. The vast majority of estates owe $0 federally — but your state may tax you long before the federal government does.</w:t>
      </w:r>
    </w:p>
    <w:p/>
    <w:p>
      <w:pPr>
        <w:spacing w:before="220"/>
      </w:pPr>
      <w:r>
        <w:rPr>
          <w:b/>
          <w:color w:val="1C2B4A"/>
          <w:sz w:val="27"/>
        </w:rPr>
        <w:t>A. Your Situation</w:t>
      </w:r>
    </w:p>
    <w:p>
      <w:pPr>
        <w:spacing w:after="80"/>
      </w:pPr>
      <w:r>
        <w:rPr>
          <w:b w:val="0"/>
          <w:color w:val="111111"/>
          <w:sz w:val="22"/>
        </w:rPr>
        <w:t>Tick what applies, then fill the right-hand column as you research your own numbers.</w:t>
      </w:r>
    </w:p>
    <w:p>
      <w:pPr>
        <w:ind w:left="216"/>
      </w:pPr>
      <w:r>
        <w:rPr>
          <w:b w:val="0"/>
          <w:color w:val="111111"/>
          <w:sz w:val="22"/>
        </w:rPr>
        <w:t>☐  Married (portability may apply)</w:t>
      </w:r>
    </w:p>
    <w:p>
      <w:pPr>
        <w:ind w:left="216"/>
      </w:pPr>
      <w:r>
        <w:rPr>
          <w:b w:val="0"/>
          <w:color w:val="111111"/>
          <w:sz w:val="22"/>
        </w:rPr>
        <w:t>☐  Single</w:t>
      </w:r>
    </w:p>
    <w:p>
      <w:pPr>
        <w:ind w:left="216"/>
      </w:pPr>
      <w:r>
        <w:rPr>
          <w:b w:val="0"/>
          <w:color w:val="111111"/>
          <w:sz w:val="22"/>
        </w:rPr>
        <w:t>☐  Live in a state with its own estate/inheritance tax</w:t>
      </w:r>
    </w:p>
    <w:p>
      <w:pPr>
        <w:ind w:left="216"/>
      </w:pPr>
      <w:r>
        <w:rPr>
          <w:b w:val="0"/>
          <w:color w:val="111111"/>
          <w:sz w:val="22"/>
        </w:rPr>
        <w:t>☐  Own a business or large real estate</w:t>
      </w:r>
    </w:p>
    <w:p/>
    <w:p>
      <w:pPr>
        <w:spacing w:before="220"/>
      </w:pPr>
      <w:r>
        <w:rPr>
          <w:b/>
          <w:color w:val="1C2B4A"/>
          <w:sz w:val="27"/>
        </w:rPr>
        <w:t>B. Assets (add to gross estate)</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Item</w:t>
            </w:r>
          </w:p>
        </w:tc>
        <w:tc>
          <w:tcPr>
            <w:tcW w:type="dxa" w:w="2880"/>
            <w:shd w:val="clear" w:fill="1C2B4A"/>
          </w:tcPr>
          <w:p>
            <w:r>
              <w:rPr>
                <w:b/>
                <w:color w:val="FFFFFF"/>
                <w:sz w:val="20"/>
              </w:rPr>
              <w:t>Your Amount</w:t>
            </w:r>
          </w:p>
        </w:tc>
        <w:tc>
          <w:tcPr>
            <w:tcW w:type="dxa" w:w="2880"/>
            <w:shd w:val="clear" w:fill="1C2B4A"/>
          </w:tcPr>
          <w:p>
            <w:r>
              <w:rPr>
                <w:b/>
                <w:color w:val="FFFFFF"/>
                <w:sz w:val="20"/>
              </w:rPr>
              <w:t>Your Estimate</w:t>
            </w:r>
          </w:p>
        </w:tc>
      </w:tr>
      <w:tr>
        <w:tc>
          <w:tcPr>
            <w:tcW w:type="dxa" w:w="2880"/>
          </w:tcPr>
          <w:p>
            <w:r>
              <w:rPr>
                <w:b w:val="0"/>
                <w:color w:val="111111"/>
                <w:sz w:val="20"/>
              </w:rPr>
              <w:t>Real estate (market value)</w:t>
            </w:r>
          </w:p>
        </w:tc>
        <w:tc>
          <w:tcPr>
            <w:tcW w:type="dxa" w:w="2880"/>
          </w:tcPr>
          <w:p>
            <w:r>
              <w:rPr>
                <w:b w:val="0"/>
                <w:color w:val="111111"/>
                <w:sz w:val="20"/>
              </w:rPr>
              <w:t>$</w:t>
            </w:r>
          </w:p>
        </w:tc>
        <w:tc>
          <w:tcPr>
            <w:tcW w:type="dxa" w:w="2880"/>
          </w:tcPr>
          <w:p>
            <w:r>
              <w:rPr>
                <w:b w:val="0"/>
                <w:color w:val="111111"/>
                <w:sz w:val="20"/>
              </w:rPr>
              <w:t>$</w:t>
            </w:r>
          </w:p>
        </w:tc>
      </w:tr>
      <w:tr>
        <w:tc>
          <w:tcPr>
            <w:tcW w:type="dxa" w:w="2880"/>
          </w:tcPr>
          <w:p>
            <w:r>
              <w:rPr>
                <w:b w:val="0"/>
                <w:color w:val="111111"/>
                <w:sz w:val="20"/>
              </w:rPr>
              <w:t>Bank &amp; investment accounts</w:t>
            </w:r>
          </w:p>
        </w:tc>
        <w:tc>
          <w:tcPr>
            <w:tcW w:type="dxa" w:w="2880"/>
          </w:tcPr>
          <w:p>
            <w:r>
              <w:rPr>
                <w:b w:val="0"/>
                <w:color w:val="111111"/>
                <w:sz w:val="20"/>
              </w:rPr>
              <w:t>$</w:t>
            </w:r>
          </w:p>
        </w:tc>
        <w:tc>
          <w:tcPr>
            <w:tcW w:type="dxa" w:w="2880"/>
          </w:tcPr>
          <w:p>
            <w:r>
              <w:rPr>
                <w:b w:val="0"/>
                <w:color w:val="111111"/>
                <w:sz w:val="20"/>
              </w:rPr>
              <w:t>$</w:t>
            </w:r>
          </w:p>
        </w:tc>
      </w:tr>
      <w:tr>
        <w:tc>
          <w:tcPr>
            <w:tcW w:type="dxa" w:w="2880"/>
          </w:tcPr>
          <w:p>
            <w:r>
              <w:rPr>
                <w:b w:val="0"/>
                <w:color w:val="111111"/>
                <w:sz w:val="20"/>
              </w:rPr>
              <w:t>Retirement accounts (401k, IRA)</w:t>
            </w:r>
          </w:p>
        </w:tc>
        <w:tc>
          <w:tcPr>
            <w:tcW w:type="dxa" w:w="2880"/>
          </w:tcPr>
          <w:p>
            <w:r>
              <w:rPr>
                <w:b w:val="0"/>
                <w:color w:val="111111"/>
                <w:sz w:val="20"/>
              </w:rPr>
              <w:t>$</w:t>
            </w:r>
          </w:p>
        </w:tc>
        <w:tc>
          <w:tcPr>
            <w:tcW w:type="dxa" w:w="2880"/>
          </w:tcPr>
          <w:p>
            <w:r>
              <w:rPr>
                <w:b w:val="0"/>
                <w:color w:val="111111"/>
                <w:sz w:val="20"/>
              </w:rPr>
              <w:t>$</w:t>
            </w:r>
          </w:p>
        </w:tc>
      </w:tr>
      <w:tr>
        <w:tc>
          <w:tcPr>
            <w:tcW w:type="dxa" w:w="2880"/>
          </w:tcPr>
          <w:p>
            <w:r>
              <w:rPr>
                <w:b w:val="0"/>
                <w:color w:val="111111"/>
                <w:sz w:val="20"/>
              </w:rPr>
              <w:t>Life insurance you own</w:t>
            </w:r>
          </w:p>
        </w:tc>
        <w:tc>
          <w:tcPr>
            <w:tcW w:type="dxa" w:w="2880"/>
          </w:tcPr>
          <w:p>
            <w:r>
              <w:rPr>
                <w:b w:val="0"/>
                <w:color w:val="111111"/>
                <w:sz w:val="20"/>
              </w:rPr>
              <w:t>$</w:t>
            </w:r>
          </w:p>
        </w:tc>
        <w:tc>
          <w:tcPr>
            <w:tcW w:type="dxa" w:w="2880"/>
          </w:tcPr>
          <w:p>
            <w:r>
              <w:rPr>
                <w:b w:val="0"/>
                <w:color w:val="111111"/>
                <w:sz w:val="20"/>
              </w:rPr>
              <w:t>$</w:t>
            </w:r>
          </w:p>
        </w:tc>
      </w:tr>
      <w:tr>
        <w:tc>
          <w:tcPr>
            <w:tcW w:type="dxa" w:w="2880"/>
          </w:tcPr>
          <w:p>
            <w:r>
              <w:rPr>
                <w:b w:val="0"/>
                <w:color w:val="111111"/>
                <w:sz w:val="20"/>
              </w:rPr>
              <w:t>Business interests</w:t>
            </w:r>
          </w:p>
        </w:tc>
        <w:tc>
          <w:tcPr>
            <w:tcW w:type="dxa" w:w="2880"/>
          </w:tcPr>
          <w:p>
            <w:r>
              <w:rPr>
                <w:b w:val="0"/>
                <w:color w:val="111111"/>
                <w:sz w:val="20"/>
              </w:rPr>
              <w:t>$</w:t>
            </w:r>
          </w:p>
        </w:tc>
        <w:tc>
          <w:tcPr>
            <w:tcW w:type="dxa" w:w="2880"/>
          </w:tcPr>
          <w:p>
            <w:r>
              <w:rPr>
                <w:b w:val="0"/>
                <w:color w:val="111111"/>
                <w:sz w:val="20"/>
              </w:rPr>
              <w:t>$</w:t>
            </w:r>
          </w:p>
        </w:tc>
      </w:tr>
      <w:tr>
        <w:tc>
          <w:tcPr>
            <w:tcW w:type="dxa" w:w="2880"/>
          </w:tcPr>
          <w:p>
            <w:r>
              <w:rPr>
                <w:b w:val="0"/>
                <w:color w:val="111111"/>
                <w:sz w:val="20"/>
              </w:rPr>
              <w:t>Personal property &amp; other</w:t>
            </w:r>
          </w:p>
        </w:tc>
        <w:tc>
          <w:tcPr>
            <w:tcW w:type="dxa" w:w="2880"/>
          </w:tcPr>
          <w:p>
            <w:r>
              <w:rPr>
                <w:b w:val="0"/>
                <w:color w:val="111111"/>
                <w:sz w:val="20"/>
              </w:rPr>
              <w:t>$</w:t>
            </w:r>
          </w:p>
        </w:tc>
        <w:tc>
          <w:tcPr>
            <w:tcW w:type="dxa" w:w="2880"/>
          </w:tcPr>
          <w:p>
            <w:r>
              <w:rPr>
                <w:b w:val="0"/>
                <w:color w:val="111111"/>
                <w:sz w:val="20"/>
              </w:rPr>
              <w:t>$</w:t>
            </w:r>
          </w:p>
        </w:tc>
      </w:tr>
    </w:tbl>
    <w:p>
      <w:r>
        <w:rPr>
          <w:b/>
          <w:color w:val="111111"/>
          <w:sz w:val="22"/>
        </w:rPr>
        <w:t xml:space="preserve">Assets (add to gross estate) subtotal $:  </w:t>
      </w:r>
      <w:r>
        <w:rPr>
          <w:b w:val="0"/>
          <w:color w:val="111111"/>
          <w:sz w:val="22"/>
        </w:rPr>
        <w:t>________________________________________</w:t>
      </w:r>
    </w:p>
    <w:p/>
    <w:p>
      <w:pPr>
        <w:spacing w:before="220"/>
      </w:pPr>
      <w:r>
        <w:rPr>
          <w:b/>
          <w:color w:val="1C2B4A"/>
          <w:sz w:val="27"/>
        </w:rPr>
        <w:t>C. Subtractions</w:t>
      </w:r>
    </w:p>
    <w:tbl>
      <w:tblPr>
        <w:tblStyle w:val="TableGrid"/>
        <w:tblW w:type="auto" w:w="0"/>
        <w:tblLook w:firstColumn="1" w:firstRow="1" w:lastColumn="0" w:lastRow="0" w:noHBand="0" w:noVBand="1" w:val="04A0"/>
      </w:tblPr>
      <w:tblGrid>
        <w:gridCol w:w="2880"/>
        <w:gridCol w:w="2880"/>
        <w:gridCol w:w="2880"/>
      </w:tblGrid>
      <w:tr>
        <w:tc>
          <w:tcPr>
            <w:tcW w:type="dxa" w:w="2880"/>
            <w:shd w:val="clear" w:fill="1C2B4A"/>
          </w:tcPr>
          <w:p>
            <w:r>
              <w:rPr>
                <w:b/>
                <w:color w:val="FFFFFF"/>
                <w:sz w:val="20"/>
              </w:rPr>
              <w:t>Item</w:t>
            </w:r>
          </w:p>
        </w:tc>
        <w:tc>
          <w:tcPr>
            <w:tcW w:type="dxa" w:w="2880"/>
            <w:shd w:val="clear" w:fill="1C2B4A"/>
          </w:tcPr>
          <w:p>
            <w:r>
              <w:rPr>
                <w:b/>
                <w:color w:val="FFFFFF"/>
                <w:sz w:val="20"/>
              </w:rPr>
              <w:t>Your Amount</w:t>
            </w:r>
          </w:p>
        </w:tc>
        <w:tc>
          <w:tcPr>
            <w:tcW w:type="dxa" w:w="2880"/>
            <w:shd w:val="clear" w:fill="1C2B4A"/>
          </w:tcPr>
          <w:p>
            <w:r>
              <w:rPr>
                <w:b/>
                <w:color w:val="FFFFFF"/>
                <w:sz w:val="20"/>
              </w:rPr>
              <w:t>Your Estimate</w:t>
            </w:r>
          </w:p>
        </w:tc>
      </w:tr>
      <w:tr>
        <w:tc>
          <w:tcPr>
            <w:tcW w:type="dxa" w:w="2880"/>
          </w:tcPr>
          <w:p>
            <w:r>
              <w:rPr>
                <w:b w:val="0"/>
                <w:color w:val="111111"/>
                <w:sz w:val="20"/>
              </w:rPr>
              <w:t>Debts &amp; mortgages</w:t>
            </w:r>
          </w:p>
        </w:tc>
        <w:tc>
          <w:tcPr>
            <w:tcW w:type="dxa" w:w="2880"/>
          </w:tcPr>
          <w:p>
            <w:r>
              <w:rPr>
                <w:b w:val="0"/>
                <w:color w:val="111111"/>
                <w:sz w:val="20"/>
              </w:rPr>
              <w:t>$</w:t>
            </w:r>
          </w:p>
        </w:tc>
        <w:tc>
          <w:tcPr>
            <w:tcW w:type="dxa" w:w="2880"/>
          </w:tcPr>
          <w:p>
            <w:r>
              <w:rPr>
                <w:b w:val="0"/>
                <w:color w:val="111111"/>
                <w:sz w:val="20"/>
              </w:rPr>
              <w:t>$</w:t>
            </w:r>
          </w:p>
        </w:tc>
      </w:tr>
      <w:tr>
        <w:tc>
          <w:tcPr>
            <w:tcW w:type="dxa" w:w="2880"/>
          </w:tcPr>
          <w:p>
            <w:r>
              <w:rPr>
                <w:b w:val="0"/>
                <w:color w:val="111111"/>
                <w:sz w:val="20"/>
              </w:rPr>
              <w:t>Charitable bequests</w:t>
            </w:r>
          </w:p>
        </w:tc>
        <w:tc>
          <w:tcPr>
            <w:tcW w:type="dxa" w:w="2880"/>
          </w:tcPr>
          <w:p>
            <w:r>
              <w:rPr>
                <w:b w:val="0"/>
                <w:color w:val="111111"/>
                <w:sz w:val="20"/>
              </w:rPr>
              <w:t>$</w:t>
            </w:r>
          </w:p>
        </w:tc>
        <w:tc>
          <w:tcPr>
            <w:tcW w:type="dxa" w:w="2880"/>
          </w:tcPr>
          <w:p>
            <w:r>
              <w:rPr>
                <w:b w:val="0"/>
                <w:color w:val="111111"/>
                <w:sz w:val="20"/>
              </w:rPr>
              <w:t>$</w:t>
            </w:r>
          </w:p>
        </w:tc>
      </w:tr>
      <w:tr>
        <w:tc>
          <w:tcPr>
            <w:tcW w:type="dxa" w:w="2880"/>
          </w:tcPr>
          <w:p>
            <w:r>
              <w:rPr>
                <w:b w:val="0"/>
                <w:color w:val="111111"/>
                <w:sz w:val="20"/>
              </w:rPr>
              <w:t>Marital deduction (to spouse)</w:t>
            </w:r>
          </w:p>
        </w:tc>
        <w:tc>
          <w:tcPr>
            <w:tcW w:type="dxa" w:w="2880"/>
          </w:tcPr>
          <w:p>
            <w:r>
              <w:rPr>
                <w:b w:val="0"/>
                <w:color w:val="111111"/>
                <w:sz w:val="20"/>
              </w:rPr>
              <w:t>$</w:t>
            </w:r>
          </w:p>
        </w:tc>
        <w:tc>
          <w:tcPr>
            <w:tcW w:type="dxa" w:w="2880"/>
          </w:tcPr>
          <w:p>
            <w:r>
              <w:rPr>
                <w:b w:val="0"/>
                <w:color w:val="111111"/>
                <w:sz w:val="20"/>
              </w:rPr>
              <w:t>$</w:t>
            </w:r>
          </w:p>
        </w:tc>
      </w:tr>
    </w:tbl>
    <w:p>
      <w:r>
        <w:rPr>
          <w:b/>
          <w:color w:val="111111"/>
          <w:sz w:val="22"/>
        </w:rPr>
        <w:t xml:space="preserve">Subtractions subtotal $:  </w:t>
      </w:r>
      <w:r>
        <w:rPr>
          <w:b w:val="0"/>
          <w:color w:val="111111"/>
          <w:sz w:val="22"/>
        </w:rPr>
        <w:t>________________________________________</w:t>
      </w:r>
    </w:p>
    <w:p/>
    <w:p>
      <w:pPr>
        <w:spacing w:before="220"/>
      </w:pPr>
      <w:r>
        <w:rPr>
          <w:b/>
          <w:color w:val="1C2B4A"/>
          <w:sz w:val="27"/>
        </w:rPr>
        <w:t>D. Net Taxable Estate Estimate</w:t>
      </w:r>
    </w:p>
    <w:p>
      <w:pPr>
        <w:spacing w:after="80"/>
      </w:pPr>
      <w:r>
        <w:rPr>
          <w:b w:val="0"/>
          <w:color w:val="111111"/>
          <w:sz w:val="22"/>
        </w:rPr>
        <w:t>Net Taxable Estate = Gross Estate (Section B subtotal) minus Subtractions (Section C subtotal).</w:t>
      </w:r>
    </w:p>
    <w:p>
      <w:r>
        <w:rPr>
          <w:b/>
          <w:color w:val="111111"/>
          <w:sz w:val="22"/>
        </w:rPr>
        <w:t xml:space="preserve">Net Taxable Estate Estimate $:  </w:t>
      </w:r>
      <w:r>
        <w:rPr>
          <w:b w:val="0"/>
          <w:color w:val="111111"/>
          <w:sz w:val="22"/>
        </w:rPr>
        <w:t>________________________________________</w:t>
      </w:r>
    </w:p>
    <w:p/>
    <w:p>
      <w:pPr>
        <w:spacing w:before="220"/>
      </w:pPr>
      <w:r>
        <w:rPr>
          <w:b/>
          <w:color w:val="1C2B4A"/>
          <w:sz w:val="27"/>
        </w:rPr>
        <w:t>E. Ways to Lower Your Cost</w:t>
      </w:r>
    </w:p>
    <w:p>
      <w:pPr>
        <w:ind w:left="216"/>
      </w:pPr>
      <w:r>
        <w:rPr>
          <w:b w:val="0"/>
          <w:color w:val="111111"/>
          <w:sz w:val="22"/>
        </w:rPr>
        <w:t>☐  Compare your total to the federal exemption ($15M per person in 2026)</w:t>
      </w:r>
    </w:p>
    <w:p>
      <w:pPr>
        <w:ind w:left="216"/>
      </w:pPr>
      <w:r>
        <w:rPr>
          <w:b w:val="0"/>
          <w:color w:val="111111"/>
          <w:sz w:val="22"/>
        </w:rPr>
        <w:t>☐  Check your state's exemption — several are far lower (as low as $1M in Oregon)</w:t>
      </w:r>
    </w:p>
    <w:p>
      <w:pPr>
        <w:ind w:left="216"/>
      </w:pPr>
      <w:r>
        <w:rPr>
          <w:b w:val="0"/>
          <w:color w:val="111111"/>
          <w:sz w:val="22"/>
        </w:rPr>
        <w:t>☐  Use the marital deduction and portability if married</w:t>
      </w:r>
    </w:p>
    <w:p>
      <w:pPr>
        <w:ind w:left="216"/>
      </w:pPr>
      <w:r>
        <w:rPr>
          <w:b w:val="0"/>
          <w:color w:val="111111"/>
          <w:sz w:val="22"/>
        </w:rPr>
        <w:t>☐  Consider annual gifting, an ILIT, or an irrevocable trust if you're near a threshold</w:t>
      </w:r>
    </w:p>
    <w:p/>
    <w:p>
      <w:pPr>
        <w:spacing w:before="220"/>
      </w:pPr>
      <w:r>
        <w:rPr>
          <w:b/>
          <w:color w:val="1C2B4A"/>
          <w:sz w:val="27"/>
        </w:rPr>
        <w:t>F. State Estate Tax Reference (2026)</w:t>
      </w:r>
    </w:p>
    <w:p>
      <w:pPr>
        <w:spacing w:after="80"/>
      </w:pPr>
      <w:r>
        <w:rPr>
          <w:b w:val="0"/>
          <w:color w:val="111111"/>
          <w:sz w:val="22"/>
        </w:rPr>
        <w:t>If you live in — or own property in — one of these states, you may owe state estate tax even when you owe nothing federally. Compare your Net Taxable Estate Estimate (Section D) to your state's exemption. Indexed exemptions (DC, Maine, New York, Rhode Island) shift each year; confirm the current number with your state's department of revenue.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1C2B4A"/>
          </w:tcPr>
          <w:p>
            <w:r>
              <w:rPr>
                <w:b/>
                <w:color w:val="FFFFFF"/>
                <w:sz w:val="20"/>
              </w:rPr>
              <w:t>State</w:t>
            </w:r>
          </w:p>
        </w:tc>
        <w:tc>
          <w:tcPr>
            <w:tcW w:type="dxa" w:w="2160"/>
            <w:shd w:val="clear" w:fill="1C2B4A"/>
          </w:tcPr>
          <w:p>
            <w:r>
              <w:rPr>
                <w:b/>
                <w:color w:val="FFFFFF"/>
                <w:sz w:val="20"/>
              </w:rPr>
              <w:t>Exemption (2026)</w:t>
            </w:r>
          </w:p>
        </w:tc>
        <w:tc>
          <w:tcPr>
            <w:tcW w:type="dxa" w:w="2160"/>
            <w:shd w:val="clear" w:fill="1C2B4A"/>
          </w:tcPr>
          <w:p>
            <w:r>
              <w:rPr>
                <w:b/>
                <w:color w:val="FFFFFF"/>
                <w:sz w:val="20"/>
              </w:rPr>
              <w:t>Top Rate</w:t>
            </w:r>
          </w:p>
        </w:tc>
        <w:tc>
          <w:tcPr>
            <w:tcW w:type="dxa" w:w="2160"/>
            <w:shd w:val="clear" w:fill="1C2B4A"/>
          </w:tcPr>
          <w:p>
            <w:r>
              <w:rPr>
                <w:b/>
                <w:color w:val="FFFFFF"/>
                <w:sz w:val="20"/>
              </w:rPr>
              <w:t>Notes</w:t>
            </w:r>
          </w:p>
        </w:tc>
      </w:tr>
      <w:tr>
        <w:tc>
          <w:tcPr>
            <w:tcW w:type="dxa" w:w="2160"/>
          </w:tcPr>
          <w:p>
            <w:r>
              <w:rPr>
                <w:b w:val="0"/>
                <w:color w:val="111111"/>
                <w:sz w:val="20"/>
              </w:rPr>
              <w:t>Connecticut</w:t>
            </w:r>
          </w:p>
        </w:tc>
        <w:tc>
          <w:tcPr>
            <w:tcW w:type="dxa" w:w="2160"/>
          </w:tcPr>
          <w:p>
            <w:r>
              <w:rPr>
                <w:b w:val="0"/>
                <w:color w:val="111111"/>
                <w:sz w:val="20"/>
              </w:rPr>
              <w:t>$15 million</w:t>
            </w:r>
          </w:p>
        </w:tc>
        <w:tc>
          <w:tcPr>
            <w:tcW w:type="dxa" w:w="2160"/>
          </w:tcPr>
          <w:p>
            <w:r>
              <w:rPr>
                <w:b w:val="0"/>
                <w:color w:val="111111"/>
                <w:sz w:val="20"/>
              </w:rPr>
              <w:t>12%</w:t>
            </w:r>
          </w:p>
        </w:tc>
        <w:tc>
          <w:tcPr>
            <w:tcW w:type="dxa" w:w="2160"/>
          </w:tcPr>
          <w:p>
            <w:r>
              <w:rPr>
                <w:b w:val="0"/>
                <w:color w:val="111111"/>
                <w:sz w:val="20"/>
              </w:rPr>
              <w:t>Matches the federal exemption</w:t>
            </w:r>
          </w:p>
        </w:tc>
      </w:tr>
      <w:tr>
        <w:tc>
          <w:tcPr>
            <w:tcW w:type="dxa" w:w="2160"/>
          </w:tcPr>
          <w:p>
            <w:r>
              <w:rPr>
                <w:b w:val="0"/>
                <w:color w:val="111111"/>
                <w:sz w:val="20"/>
              </w:rPr>
              <w:t>District of Columbia</w:t>
            </w:r>
          </w:p>
        </w:tc>
        <w:tc>
          <w:tcPr>
            <w:tcW w:type="dxa" w:w="2160"/>
          </w:tcPr>
          <w:p>
            <w:r>
              <w:rPr>
                <w:b w:val="0"/>
                <w:color w:val="111111"/>
                <w:sz w:val="20"/>
              </w:rPr>
              <w:t>~$4.9 million</w:t>
            </w:r>
          </w:p>
        </w:tc>
        <w:tc>
          <w:tcPr>
            <w:tcW w:type="dxa" w:w="2160"/>
          </w:tcPr>
          <w:p>
            <w:r>
              <w:rPr>
                <w:b w:val="0"/>
                <w:color w:val="111111"/>
                <w:sz w:val="20"/>
              </w:rPr>
              <w:t>16%</w:t>
            </w:r>
          </w:p>
        </w:tc>
        <w:tc>
          <w:tcPr>
            <w:tcW w:type="dxa" w:w="2160"/>
          </w:tcPr>
          <w:p>
            <w:r>
              <w:rPr>
                <w:b w:val="0"/>
                <w:color w:val="111111"/>
                <w:sz w:val="20"/>
              </w:rPr>
              <w:t>Indexed to inflation</w:t>
            </w:r>
          </w:p>
        </w:tc>
      </w:tr>
      <w:tr>
        <w:tc>
          <w:tcPr>
            <w:tcW w:type="dxa" w:w="2160"/>
          </w:tcPr>
          <w:p>
            <w:r>
              <w:rPr>
                <w:b w:val="0"/>
                <w:color w:val="111111"/>
                <w:sz w:val="20"/>
              </w:rPr>
              <w:t>Hawaii</w:t>
            </w:r>
          </w:p>
        </w:tc>
        <w:tc>
          <w:tcPr>
            <w:tcW w:type="dxa" w:w="2160"/>
          </w:tcPr>
          <w:p>
            <w:r>
              <w:rPr>
                <w:b w:val="0"/>
                <w:color w:val="111111"/>
                <w:sz w:val="20"/>
              </w:rPr>
              <w:t>$5.49 million</w:t>
            </w:r>
          </w:p>
        </w:tc>
        <w:tc>
          <w:tcPr>
            <w:tcW w:type="dxa" w:w="2160"/>
          </w:tcPr>
          <w:p>
            <w:r>
              <w:rPr>
                <w:b w:val="0"/>
                <w:color w:val="111111"/>
                <w:sz w:val="20"/>
              </w:rPr>
              <w:t>20%</w:t>
            </w:r>
          </w:p>
        </w:tc>
        <w:tc>
          <w:tcPr>
            <w:tcW w:type="dxa" w:w="2160"/>
          </w:tcPr>
          <w:p>
            <w:r>
              <w:rPr>
                <w:b w:val="0"/>
                <w:color w:val="111111"/>
                <w:sz w:val="20"/>
              </w:rPr>
              <w:t>Highest state rate (tied)</w:t>
            </w:r>
          </w:p>
        </w:tc>
      </w:tr>
      <w:tr>
        <w:tc>
          <w:tcPr>
            <w:tcW w:type="dxa" w:w="2160"/>
          </w:tcPr>
          <w:p>
            <w:r>
              <w:rPr>
                <w:b w:val="0"/>
                <w:color w:val="111111"/>
                <w:sz w:val="20"/>
              </w:rPr>
              <w:t>Illinois</w:t>
            </w:r>
          </w:p>
        </w:tc>
        <w:tc>
          <w:tcPr>
            <w:tcW w:type="dxa" w:w="2160"/>
          </w:tcPr>
          <w:p>
            <w:r>
              <w:rPr>
                <w:b w:val="0"/>
                <w:color w:val="111111"/>
                <w:sz w:val="20"/>
              </w:rPr>
              <w:t>$4 million</w:t>
            </w:r>
          </w:p>
        </w:tc>
        <w:tc>
          <w:tcPr>
            <w:tcW w:type="dxa" w:w="2160"/>
          </w:tcPr>
          <w:p>
            <w:r>
              <w:rPr>
                <w:b w:val="0"/>
                <w:color w:val="111111"/>
                <w:sz w:val="20"/>
              </w:rPr>
              <w:t>16%</w:t>
            </w:r>
          </w:p>
        </w:tc>
        <w:tc>
          <w:tcPr>
            <w:tcW w:type="dxa" w:w="2160"/>
          </w:tcPr>
          <w:p>
            <w:r>
              <w:rPr>
                <w:b w:val="0"/>
                <w:color w:val="111111"/>
                <w:sz w:val="20"/>
              </w:rPr>
              <w:t>Flat — not indexed</w:t>
            </w:r>
          </w:p>
        </w:tc>
      </w:tr>
      <w:tr>
        <w:tc>
          <w:tcPr>
            <w:tcW w:type="dxa" w:w="2160"/>
          </w:tcPr>
          <w:p>
            <w:r>
              <w:rPr>
                <w:b w:val="0"/>
                <w:color w:val="111111"/>
                <w:sz w:val="20"/>
              </w:rPr>
              <w:t>Maine</w:t>
            </w:r>
          </w:p>
        </w:tc>
        <w:tc>
          <w:tcPr>
            <w:tcW w:type="dxa" w:w="2160"/>
          </w:tcPr>
          <w:p>
            <w:r>
              <w:rPr>
                <w:b w:val="0"/>
                <w:color w:val="111111"/>
                <w:sz w:val="20"/>
              </w:rPr>
              <w:t>~$7 million</w:t>
            </w:r>
          </w:p>
        </w:tc>
        <w:tc>
          <w:tcPr>
            <w:tcW w:type="dxa" w:w="2160"/>
          </w:tcPr>
          <w:p>
            <w:r>
              <w:rPr>
                <w:b w:val="0"/>
                <w:color w:val="111111"/>
                <w:sz w:val="20"/>
              </w:rPr>
              <w:t>12%</w:t>
            </w:r>
          </w:p>
        </w:tc>
        <w:tc>
          <w:tcPr>
            <w:tcW w:type="dxa" w:w="2160"/>
          </w:tcPr>
          <w:p>
            <w:r>
              <w:rPr>
                <w:b w:val="0"/>
                <w:color w:val="111111"/>
                <w:sz w:val="20"/>
              </w:rPr>
              <w:t>Indexed</w:t>
            </w:r>
          </w:p>
        </w:tc>
      </w:tr>
      <w:tr>
        <w:tc>
          <w:tcPr>
            <w:tcW w:type="dxa" w:w="2160"/>
          </w:tcPr>
          <w:p>
            <w:r>
              <w:rPr>
                <w:b w:val="0"/>
                <w:color w:val="111111"/>
                <w:sz w:val="20"/>
              </w:rPr>
              <w:t>Maryland</w:t>
            </w:r>
          </w:p>
        </w:tc>
        <w:tc>
          <w:tcPr>
            <w:tcW w:type="dxa" w:w="2160"/>
          </w:tcPr>
          <w:p>
            <w:r>
              <w:rPr>
                <w:b w:val="0"/>
                <w:color w:val="111111"/>
                <w:sz w:val="20"/>
              </w:rPr>
              <w:t>$5 million</w:t>
            </w:r>
          </w:p>
        </w:tc>
        <w:tc>
          <w:tcPr>
            <w:tcW w:type="dxa" w:w="2160"/>
          </w:tcPr>
          <w:p>
            <w:r>
              <w:rPr>
                <w:b w:val="0"/>
                <w:color w:val="111111"/>
                <w:sz w:val="20"/>
              </w:rPr>
              <w:t>16%</w:t>
            </w:r>
          </w:p>
        </w:tc>
        <w:tc>
          <w:tcPr>
            <w:tcW w:type="dxa" w:w="2160"/>
          </w:tcPr>
          <w:p>
            <w:r>
              <w:rPr>
                <w:b w:val="0"/>
                <w:color w:val="111111"/>
                <w:sz w:val="20"/>
              </w:rPr>
              <w:t>Also has an inheritance tax</w:t>
            </w:r>
          </w:p>
        </w:tc>
      </w:tr>
      <w:tr>
        <w:tc>
          <w:tcPr>
            <w:tcW w:type="dxa" w:w="2160"/>
          </w:tcPr>
          <w:p>
            <w:r>
              <w:rPr>
                <w:b w:val="0"/>
                <w:color w:val="111111"/>
                <w:sz w:val="20"/>
              </w:rPr>
              <w:t>Massachusetts</w:t>
            </w:r>
          </w:p>
        </w:tc>
        <w:tc>
          <w:tcPr>
            <w:tcW w:type="dxa" w:w="2160"/>
          </w:tcPr>
          <w:p>
            <w:r>
              <w:rPr>
                <w:b w:val="0"/>
                <w:color w:val="111111"/>
                <w:sz w:val="20"/>
              </w:rPr>
              <w:t>$2 million</w:t>
            </w:r>
          </w:p>
        </w:tc>
        <w:tc>
          <w:tcPr>
            <w:tcW w:type="dxa" w:w="2160"/>
          </w:tcPr>
          <w:p>
            <w:r>
              <w:rPr>
                <w:b w:val="0"/>
                <w:color w:val="111111"/>
                <w:sz w:val="20"/>
              </w:rPr>
              <w:t>16%</w:t>
            </w:r>
          </w:p>
        </w:tc>
        <w:tc>
          <w:tcPr>
            <w:tcW w:type="dxa" w:w="2160"/>
          </w:tcPr>
          <w:p>
            <w:r>
              <w:rPr>
                <w:b w:val="0"/>
                <w:color w:val="111111"/>
                <w:sz w:val="20"/>
              </w:rPr>
              <w:t>Not indexed</w:t>
            </w:r>
          </w:p>
        </w:tc>
      </w:tr>
      <w:tr>
        <w:tc>
          <w:tcPr>
            <w:tcW w:type="dxa" w:w="2160"/>
          </w:tcPr>
          <w:p>
            <w:r>
              <w:rPr>
                <w:b w:val="0"/>
                <w:color w:val="111111"/>
                <w:sz w:val="20"/>
              </w:rPr>
              <w:t>Minnesota</w:t>
            </w:r>
          </w:p>
        </w:tc>
        <w:tc>
          <w:tcPr>
            <w:tcW w:type="dxa" w:w="2160"/>
          </w:tcPr>
          <w:p>
            <w:r>
              <w:rPr>
                <w:b w:val="0"/>
                <w:color w:val="111111"/>
                <w:sz w:val="20"/>
              </w:rPr>
              <w:t>$3 million</w:t>
            </w:r>
          </w:p>
        </w:tc>
        <w:tc>
          <w:tcPr>
            <w:tcW w:type="dxa" w:w="2160"/>
          </w:tcPr>
          <w:p>
            <w:r>
              <w:rPr>
                <w:b w:val="0"/>
                <w:color w:val="111111"/>
                <w:sz w:val="20"/>
              </w:rPr>
              <w:t>16%</w:t>
            </w:r>
          </w:p>
        </w:tc>
        <w:tc>
          <w:tcPr>
            <w:tcW w:type="dxa" w:w="2160"/>
          </w:tcPr>
          <w:p>
            <w:r>
              <w:rPr>
                <w:b w:val="0"/>
                <w:color w:val="111111"/>
                <w:sz w:val="20"/>
              </w:rPr>
              <w:t>Flat</w:t>
            </w:r>
          </w:p>
        </w:tc>
      </w:tr>
      <w:tr>
        <w:tc>
          <w:tcPr>
            <w:tcW w:type="dxa" w:w="2160"/>
          </w:tcPr>
          <w:p>
            <w:r>
              <w:rPr>
                <w:b w:val="0"/>
                <w:color w:val="111111"/>
                <w:sz w:val="20"/>
              </w:rPr>
              <w:t>New York</w:t>
            </w:r>
          </w:p>
        </w:tc>
        <w:tc>
          <w:tcPr>
            <w:tcW w:type="dxa" w:w="2160"/>
          </w:tcPr>
          <w:p>
            <w:r>
              <w:rPr>
                <w:b w:val="0"/>
                <w:color w:val="111111"/>
                <w:sz w:val="20"/>
              </w:rPr>
              <w:t>~$7.16 million</w:t>
            </w:r>
          </w:p>
        </w:tc>
        <w:tc>
          <w:tcPr>
            <w:tcW w:type="dxa" w:w="2160"/>
          </w:tcPr>
          <w:p>
            <w:r>
              <w:rPr>
                <w:b w:val="0"/>
                <w:color w:val="111111"/>
                <w:sz w:val="20"/>
              </w:rPr>
              <w:t>16%</w:t>
            </w:r>
          </w:p>
        </w:tc>
        <w:tc>
          <w:tcPr>
            <w:tcW w:type="dxa" w:w="2160"/>
          </w:tcPr>
          <w:p>
            <w:r>
              <w:rPr>
                <w:b w:val="0"/>
                <w:color w:val="111111"/>
                <w:sz w:val="20"/>
              </w:rPr>
              <w:t>Cliff: exceed 105% of exemption and the ENTIRE estate is taxed</w:t>
            </w:r>
          </w:p>
        </w:tc>
      </w:tr>
      <w:tr>
        <w:tc>
          <w:tcPr>
            <w:tcW w:type="dxa" w:w="2160"/>
          </w:tcPr>
          <w:p>
            <w:r>
              <w:rPr>
                <w:b w:val="0"/>
                <w:color w:val="111111"/>
                <w:sz w:val="20"/>
              </w:rPr>
              <w:t>Oregon</w:t>
            </w:r>
          </w:p>
        </w:tc>
        <w:tc>
          <w:tcPr>
            <w:tcW w:type="dxa" w:w="2160"/>
          </w:tcPr>
          <w:p>
            <w:r>
              <w:rPr>
                <w:b w:val="0"/>
                <w:color w:val="111111"/>
                <w:sz w:val="20"/>
              </w:rPr>
              <w:t>$1 million</w:t>
            </w:r>
          </w:p>
        </w:tc>
        <w:tc>
          <w:tcPr>
            <w:tcW w:type="dxa" w:w="2160"/>
          </w:tcPr>
          <w:p>
            <w:r>
              <w:rPr>
                <w:b w:val="0"/>
                <w:color w:val="111111"/>
                <w:sz w:val="20"/>
              </w:rPr>
              <w:t>10-16%</w:t>
            </w:r>
          </w:p>
        </w:tc>
        <w:tc>
          <w:tcPr>
            <w:tcW w:type="dxa" w:w="2160"/>
          </w:tcPr>
          <w:p>
            <w:r>
              <w:rPr>
                <w:b w:val="0"/>
                <w:color w:val="111111"/>
                <w:sz w:val="20"/>
              </w:rPr>
              <w:t>Lowest exemption in the US</w:t>
            </w:r>
          </w:p>
        </w:tc>
      </w:tr>
      <w:tr>
        <w:tc>
          <w:tcPr>
            <w:tcW w:type="dxa" w:w="2160"/>
          </w:tcPr>
          <w:p>
            <w:r>
              <w:rPr>
                <w:b w:val="0"/>
                <w:color w:val="111111"/>
                <w:sz w:val="20"/>
              </w:rPr>
              <w:t>Rhode Island</w:t>
            </w:r>
          </w:p>
        </w:tc>
        <w:tc>
          <w:tcPr>
            <w:tcW w:type="dxa" w:w="2160"/>
          </w:tcPr>
          <w:p>
            <w:r>
              <w:rPr>
                <w:b w:val="0"/>
                <w:color w:val="111111"/>
                <w:sz w:val="20"/>
              </w:rPr>
              <w:t>~$1.8 million</w:t>
            </w:r>
          </w:p>
        </w:tc>
        <w:tc>
          <w:tcPr>
            <w:tcW w:type="dxa" w:w="2160"/>
          </w:tcPr>
          <w:p>
            <w:r>
              <w:rPr>
                <w:b w:val="0"/>
                <w:color w:val="111111"/>
                <w:sz w:val="20"/>
              </w:rPr>
              <w:t>16%</w:t>
            </w:r>
          </w:p>
        </w:tc>
        <w:tc>
          <w:tcPr>
            <w:tcW w:type="dxa" w:w="2160"/>
          </w:tcPr>
          <w:p>
            <w:r>
              <w:rPr>
                <w:b w:val="0"/>
                <w:color w:val="111111"/>
                <w:sz w:val="20"/>
              </w:rPr>
              <w:t>Indexed</w:t>
            </w:r>
          </w:p>
        </w:tc>
      </w:tr>
      <w:tr>
        <w:tc>
          <w:tcPr>
            <w:tcW w:type="dxa" w:w="2160"/>
          </w:tcPr>
          <w:p>
            <w:r>
              <w:rPr>
                <w:b w:val="0"/>
                <w:color w:val="111111"/>
                <w:sz w:val="20"/>
              </w:rPr>
              <w:t>Vermont</w:t>
            </w:r>
          </w:p>
        </w:tc>
        <w:tc>
          <w:tcPr>
            <w:tcW w:type="dxa" w:w="2160"/>
          </w:tcPr>
          <w:p>
            <w:r>
              <w:rPr>
                <w:b w:val="0"/>
                <w:color w:val="111111"/>
                <w:sz w:val="20"/>
              </w:rPr>
              <w:t>$5 million</w:t>
            </w:r>
          </w:p>
        </w:tc>
        <w:tc>
          <w:tcPr>
            <w:tcW w:type="dxa" w:w="2160"/>
          </w:tcPr>
          <w:p>
            <w:r>
              <w:rPr>
                <w:b w:val="0"/>
                <w:color w:val="111111"/>
                <w:sz w:val="20"/>
              </w:rPr>
              <w:t>16%</w:t>
            </w:r>
          </w:p>
        </w:tc>
        <w:tc>
          <w:tcPr>
            <w:tcW w:type="dxa" w:w="2160"/>
          </w:tcPr>
          <w:p>
            <w:r>
              <w:rPr>
                <w:b w:val="0"/>
                <w:color w:val="111111"/>
                <w:sz w:val="20"/>
              </w:rPr>
              <w:t>Flat</w:t>
            </w:r>
          </w:p>
        </w:tc>
      </w:tr>
      <w:tr>
        <w:tc>
          <w:tcPr>
            <w:tcW w:type="dxa" w:w="2160"/>
          </w:tcPr>
          <w:p>
            <w:r>
              <w:rPr>
                <w:b w:val="0"/>
                <w:color w:val="111111"/>
                <w:sz w:val="20"/>
              </w:rPr>
              <w:t>Washington</w:t>
            </w:r>
          </w:p>
        </w:tc>
        <w:tc>
          <w:tcPr>
            <w:tcW w:type="dxa" w:w="2160"/>
          </w:tcPr>
          <w:p>
            <w:r>
              <w:rPr>
                <w:b w:val="0"/>
                <w:color w:val="111111"/>
                <w:sz w:val="20"/>
              </w:rPr>
              <w:t>$3 million</w:t>
            </w:r>
          </w:p>
        </w:tc>
        <w:tc>
          <w:tcPr>
            <w:tcW w:type="dxa" w:w="2160"/>
          </w:tcPr>
          <w:p>
            <w:r>
              <w:rPr>
                <w:b w:val="0"/>
                <w:color w:val="111111"/>
                <w:sz w:val="20"/>
              </w:rPr>
              <w:t>20%</w:t>
            </w:r>
          </w:p>
        </w:tc>
        <w:tc>
          <w:tcPr>
            <w:tcW w:type="dxa" w:w="2160"/>
          </w:tcPr>
          <w:p>
            <w:r>
              <w:rPr>
                <w:b w:val="0"/>
                <w:color w:val="111111"/>
                <w:sz w:val="20"/>
              </w:rPr>
              <w:t>Top rate reverted to 20% for deaths on/after July 1, 2026</w:t>
            </w:r>
          </w:p>
        </w:tc>
      </w:tr>
    </w:tbl>
    <w:p/>
    <w:p>
      <w:pPr>
        <w:spacing w:before="220"/>
      </w:pPr>
      <w:r>
        <w:rPr>
          <w:b/>
          <w:color w:val="1C2B4A"/>
          <w:sz w:val="27"/>
        </w:rPr>
        <w:t>G. State Inheritance Tax Reference (2026)</w:t>
      </w:r>
    </w:p>
    <w:p>
      <w:pPr>
        <w:spacing w:after="80"/>
      </w:pPr>
      <w:r>
        <w:rPr>
          <w:b w:val="0"/>
          <w:color w:val="111111"/>
          <w:sz w:val="22"/>
        </w:rPr>
        <w:t>An inheritance tax is different from an estate tax: it is paid by the person who receives the assets, and the rate usually depends on how closely related they are to you. Spouses are almost always exempt; more distant or unrelated heirs can face meaningful rates.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fill="1C2B4A"/>
          </w:tcPr>
          <w:p>
            <w:r>
              <w:rPr>
                <w:b/>
                <w:color w:val="FFFFFF"/>
                <w:sz w:val="20"/>
              </w:rPr>
              <w:t>State</w:t>
            </w:r>
          </w:p>
        </w:tc>
        <w:tc>
          <w:tcPr>
            <w:tcW w:type="dxa" w:w="1728"/>
            <w:shd w:val="clear" w:fill="1C2B4A"/>
          </w:tcPr>
          <w:p>
            <w:r>
              <w:rPr>
                <w:b/>
                <w:color w:val="FFFFFF"/>
                <w:sz w:val="20"/>
              </w:rPr>
              <w:t>Spouse</w:t>
            </w:r>
          </w:p>
        </w:tc>
        <w:tc>
          <w:tcPr>
            <w:tcW w:type="dxa" w:w="1728"/>
            <w:shd w:val="clear" w:fill="1C2B4A"/>
          </w:tcPr>
          <w:p>
            <w:r>
              <w:rPr>
                <w:b/>
                <w:color w:val="FFFFFF"/>
                <w:sz w:val="20"/>
              </w:rPr>
              <w:t>Children</w:t>
            </w:r>
          </w:p>
        </w:tc>
        <w:tc>
          <w:tcPr>
            <w:tcW w:type="dxa" w:w="1728"/>
            <w:shd w:val="clear" w:fill="1C2B4A"/>
          </w:tcPr>
          <w:p>
            <w:r>
              <w:rPr>
                <w:b/>
                <w:color w:val="FFFFFF"/>
                <w:sz w:val="20"/>
              </w:rPr>
              <w:t>Siblings</w:t>
            </w:r>
          </w:p>
        </w:tc>
        <w:tc>
          <w:tcPr>
            <w:tcW w:type="dxa" w:w="1728"/>
            <w:shd w:val="clear" w:fill="1C2B4A"/>
          </w:tcPr>
          <w:p>
            <w:r>
              <w:rPr>
                <w:b/>
                <w:color w:val="FFFFFF"/>
                <w:sz w:val="20"/>
              </w:rPr>
              <w:t>Other Heirs</w:t>
            </w:r>
          </w:p>
        </w:tc>
      </w:tr>
      <w:tr>
        <w:tc>
          <w:tcPr>
            <w:tcW w:type="dxa" w:w="1728"/>
          </w:tcPr>
          <w:p>
            <w:r>
              <w:rPr>
                <w:b w:val="0"/>
                <w:color w:val="111111"/>
                <w:sz w:val="20"/>
              </w:rPr>
              <w:t>Kentucky</w:t>
            </w:r>
          </w:p>
        </w:tc>
        <w:tc>
          <w:tcPr>
            <w:tcW w:type="dxa" w:w="1728"/>
          </w:tcPr>
          <w:p>
            <w:r>
              <w:rPr>
                <w:b w:val="0"/>
                <w:color w:val="111111"/>
                <w:sz w:val="20"/>
              </w:rPr>
              <w:t>Exempt</w:t>
            </w:r>
          </w:p>
        </w:tc>
        <w:tc>
          <w:tcPr>
            <w:tcW w:type="dxa" w:w="1728"/>
          </w:tcPr>
          <w:p>
            <w:r>
              <w:rPr>
                <w:b w:val="0"/>
                <w:color w:val="111111"/>
                <w:sz w:val="20"/>
              </w:rPr>
              <w:t>0% (Class A exempt)</w:t>
            </w:r>
          </w:p>
        </w:tc>
        <w:tc>
          <w:tcPr>
            <w:tcW w:type="dxa" w:w="1728"/>
          </w:tcPr>
          <w:p>
            <w:r>
              <w:rPr>
                <w:b w:val="0"/>
                <w:color w:val="111111"/>
                <w:sz w:val="20"/>
              </w:rPr>
              <w:t>4-16%</w:t>
            </w:r>
          </w:p>
        </w:tc>
        <w:tc>
          <w:tcPr>
            <w:tcW w:type="dxa" w:w="1728"/>
          </w:tcPr>
          <w:p>
            <w:r>
              <w:rPr>
                <w:b w:val="0"/>
                <w:color w:val="111111"/>
                <w:sz w:val="20"/>
              </w:rPr>
              <w:t>6-16%</w:t>
            </w:r>
          </w:p>
        </w:tc>
      </w:tr>
      <w:tr>
        <w:tc>
          <w:tcPr>
            <w:tcW w:type="dxa" w:w="1728"/>
          </w:tcPr>
          <w:p>
            <w:r>
              <w:rPr>
                <w:b w:val="0"/>
                <w:color w:val="111111"/>
                <w:sz w:val="20"/>
              </w:rPr>
              <w:t>Maryland</w:t>
            </w:r>
          </w:p>
        </w:tc>
        <w:tc>
          <w:tcPr>
            <w:tcW w:type="dxa" w:w="1728"/>
          </w:tcPr>
          <w:p>
            <w:r>
              <w:rPr>
                <w:b w:val="0"/>
                <w:color w:val="111111"/>
                <w:sz w:val="20"/>
              </w:rPr>
              <w:t>Exempt</w:t>
            </w:r>
          </w:p>
        </w:tc>
        <w:tc>
          <w:tcPr>
            <w:tcW w:type="dxa" w:w="1728"/>
          </w:tcPr>
          <w:p>
            <w:r>
              <w:rPr>
                <w:b w:val="0"/>
                <w:color w:val="111111"/>
                <w:sz w:val="20"/>
              </w:rPr>
              <w:t>0% (lineal)</w:t>
            </w:r>
          </w:p>
        </w:tc>
        <w:tc>
          <w:tcPr>
            <w:tcW w:type="dxa" w:w="1728"/>
          </w:tcPr>
          <w:p>
            <w:r>
              <w:rPr>
                <w:b w:val="0"/>
                <w:color w:val="111111"/>
                <w:sz w:val="20"/>
              </w:rPr>
              <w:t>10%</w:t>
            </w:r>
          </w:p>
        </w:tc>
        <w:tc>
          <w:tcPr>
            <w:tcW w:type="dxa" w:w="1728"/>
          </w:tcPr>
          <w:p>
            <w:r>
              <w:rPr>
                <w:b w:val="0"/>
                <w:color w:val="111111"/>
                <w:sz w:val="20"/>
              </w:rPr>
              <w:t>10%</w:t>
            </w:r>
          </w:p>
        </w:tc>
      </w:tr>
      <w:tr>
        <w:tc>
          <w:tcPr>
            <w:tcW w:type="dxa" w:w="1728"/>
          </w:tcPr>
          <w:p>
            <w:r>
              <w:rPr>
                <w:b w:val="0"/>
                <w:color w:val="111111"/>
                <w:sz w:val="20"/>
              </w:rPr>
              <w:t>Nebraska</w:t>
            </w:r>
          </w:p>
        </w:tc>
        <w:tc>
          <w:tcPr>
            <w:tcW w:type="dxa" w:w="1728"/>
          </w:tcPr>
          <w:p>
            <w:r>
              <w:rPr>
                <w:b w:val="0"/>
                <w:color w:val="111111"/>
                <w:sz w:val="20"/>
              </w:rPr>
              <w:t>Exempt</w:t>
            </w:r>
          </w:p>
        </w:tc>
        <w:tc>
          <w:tcPr>
            <w:tcW w:type="dxa" w:w="1728"/>
          </w:tcPr>
          <w:p>
            <w:r>
              <w:rPr>
                <w:b w:val="0"/>
                <w:color w:val="111111"/>
                <w:sz w:val="20"/>
              </w:rPr>
              <w:t>1% (over $100K)</w:t>
            </w:r>
          </w:p>
        </w:tc>
        <w:tc>
          <w:tcPr>
            <w:tcW w:type="dxa" w:w="1728"/>
          </w:tcPr>
          <w:p>
            <w:r>
              <w:rPr>
                <w:b w:val="0"/>
                <w:color w:val="111111"/>
                <w:sz w:val="20"/>
              </w:rPr>
              <w:t>11% (over $40K)</w:t>
            </w:r>
          </w:p>
        </w:tc>
        <w:tc>
          <w:tcPr>
            <w:tcW w:type="dxa" w:w="1728"/>
          </w:tcPr>
          <w:p>
            <w:r>
              <w:rPr>
                <w:b w:val="0"/>
                <w:color w:val="111111"/>
                <w:sz w:val="20"/>
              </w:rPr>
              <w:t>15% (over $25K)</w:t>
            </w:r>
          </w:p>
        </w:tc>
      </w:tr>
      <w:tr>
        <w:tc>
          <w:tcPr>
            <w:tcW w:type="dxa" w:w="1728"/>
          </w:tcPr>
          <w:p>
            <w:r>
              <w:rPr>
                <w:b w:val="0"/>
                <w:color w:val="111111"/>
                <w:sz w:val="20"/>
              </w:rPr>
              <w:t>New Jersey</w:t>
            </w:r>
          </w:p>
        </w:tc>
        <w:tc>
          <w:tcPr>
            <w:tcW w:type="dxa" w:w="1728"/>
          </w:tcPr>
          <w:p>
            <w:r>
              <w:rPr>
                <w:b w:val="0"/>
                <w:color w:val="111111"/>
                <w:sz w:val="20"/>
              </w:rPr>
              <w:t>Exempt</w:t>
            </w:r>
          </w:p>
        </w:tc>
        <w:tc>
          <w:tcPr>
            <w:tcW w:type="dxa" w:w="1728"/>
          </w:tcPr>
          <w:p>
            <w:r>
              <w:rPr>
                <w:b w:val="0"/>
                <w:color w:val="111111"/>
                <w:sz w:val="20"/>
              </w:rPr>
              <w:t>0% (Class A exempt)</w:t>
            </w:r>
          </w:p>
        </w:tc>
        <w:tc>
          <w:tcPr>
            <w:tcW w:type="dxa" w:w="1728"/>
          </w:tcPr>
          <w:p>
            <w:r>
              <w:rPr>
                <w:b w:val="0"/>
                <w:color w:val="111111"/>
                <w:sz w:val="20"/>
              </w:rPr>
              <w:t>11-16%</w:t>
            </w:r>
          </w:p>
        </w:tc>
        <w:tc>
          <w:tcPr>
            <w:tcW w:type="dxa" w:w="1728"/>
          </w:tcPr>
          <w:p>
            <w:r>
              <w:rPr>
                <w:b w:val="0"/>
                <w:color w:val="111111"/>
                <w:sz w:val="20"/>
              </w:rPr>
              <w:t>15-16%</w:t>
            </w:r>
          </w:p>
        </w:tc>
      </w:tr>
      <w:tr>
        <w:tc>
          <w:tcPr>
            <w:tcW w:type="dxa" w:w="1728"/>
          </w:tcPr>
          <w:p>
            <w:r>
              <w:rPr>
                <w:b w:val="0"/>
                <w:color w:val="111111"/>
                <w:sz w:val="20"/>
              </w:rPr>
              <w:t>Pennsylvania</w:t>
            </w:r>
          </w:p>
        </w:tc>
        <w:tc>
          <w:tcPr>
            <w:tcW w:type="dxa" w:w="1728"/>
          </w:tcPr>
          <w:p>
            <w:r>
              <w:rPr>
                <w:b w:val="0"/>
                <w:color w:val="111111"/>
                <w:sz w:val="20"/>
              </w:rPr>
              <w:t>Exempt</w:t>
            </w:r>
          </w:p>
        </w:tc>
        <w:tc>
          <w:tcPr>
            <w:tcW w:type="dxa" w:w="1728"/>
          </w:tcPr>
          <w:p>
            <w:r>
              <w:rPr>
                <w:b w:val="0"/>
                <w:color w:val="111111"/>
                <w:sz w:val="20"/>
              </w:rPr>
              <w:t>4.5%</w:t>
            </w:r>
          </w:p>
        </w:tc>
        <w:tc>
          <w:tcPr>
            <w:tcW w:type="dxa" w:w="1728"/>
          </w:tcPr>
          <w:p>
            <w:r>
              <w:rPr>
                <w:b w:val="0"/>
                <w:color w:val="111111"/>
                <w:sz w:val="20"/>
              </w:rPr>
              <w:t>12%</w:t>
            </w:r>
          </w:p>
        </w:tc>
        <w:tc>
          <w:tcPr>
            <w:tcW w:type="dxa" w:w="1728"/>
          </w:tcPr>
          <w:p>
            <w:r>
              <w:rPr>
                <w:b w:val="0"/>
                <w:color w:val="111111"/>
                <w:sz w:val="20"/>
              </w:rPr>
              <w:t>15%</w:t>
            </w:r>
          </w:p>
        </w:tc>
      </w:tr>
    </w:tbl>
    <w:p/>
    <w:p>
      <w:r>
        <w:rPr>
          <w:b/>
          <w:color w:val="111111"/>
          <w:sz w:val="22"/>
        </w:rPr>
        <w:t>Notes</w:t>
      </w:r>
    </w:p>
    <w:p>
      <w:pPr>
        <w:spacing w:after="80"/>
      </w:pPr>
      <w:r>
        <w:rPr>
          <w:b w:val="0"/>
          <w:color w:val="111111"/>
          <w:sz w:val="22"/>
        </w:rPr>
        <w:t>:  ________________________________________</w:t>
      </w:r>
    </w:p>
    <w:p>
      <w:pPr>
        <w:spacing w:after="80"/>
      </w:pPr>
      <w:r>
        <w:rPr>
          <w:b w:val="0"/>
          <w:color w:val="111111"/>
          <w:sz w:val="22"/>
        </w:rPr>
        <w:t>:  ________________________________________</w:t>
      </w:r>
    </w:p>
    <w:p>
      <w:pPr>
        <w:spacing w:after="80"/>
      </w:pPr>
      <w:r>
        <w:rPr>
          <w:b w:val="0"/>
          <w:color w:val="111111"/>
          <w:sz w:val="22"/>
        </w:rPr>
        <w:t>:  ________________________________________</w:t>
      </w:r>
    </w:p>
    <w:p/>
    <w:p>
      <w:pPr>
        <w:spacing w:after="80"/>
      </w:pPr>
      <w:r>
        <w:rPr>
          <w:b w:val="0"/>
          <w:color w:val="111111"/>
          <w:sz w:val="22"/>
        </w:rPr>
        <w:t>© 2026 ClearLegalTips.com — Informational only, not legal advice.</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How to use this worksheet: (1) In Section A, tick the boxes that describe your situation. (2) In Section B, enter the value of each asset you own — remember that life insurance you own and retirement accounts count in full. (3) In Section C, subtract debts, charitable bequests, and anything passing to a U.S.-citizen spouse. (4) Compute your Net Taxable Estate in Section D. (5) Compare that number to the $15M federal exemption AND to your state's threshold in Section F (plus any inheritance tax in Section G). If you're anywhere near a federal or state threshold, use the strategies in Section E and speak with a licensed estate-planning attorney or tax professional in your state. Laws vary by state and change over time; this worksheet is general information, not legal advice.</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