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C2B4A"/>
          <w:sz w:val="40"/>
        </w:rPr>
        <w:t>Estate &amp; Inheritance Tax by State (2026)</w:t>
      </w:r>
    </w:p>
    <w:p>
      <w:pPr>
        <w:spacing w:after="200"/>
      </w:pPr>
      <w:r>
        <w:rPr>
          <w:b/>
          <w:color w:val="C9A23A"/>
          <w:sz w:val="28"/>
        </w:rPr>
        <w:t>Exemptions, top rates, and who pays, verified against state revenue departments in July 2026</w:t>
      </w:r>
    </w:p>
    <w:p>
      <w:r>
        <w:rPr>
          <w:b w:val="0"/>
          <w:color w:val="222222"/>
          <w:sz w:val="22"/>
        </w:rPr>
        <w:t>The estate tax is paid by the estate before distribution; the inheritance tax is paid by the heir, based on their relationship to the deceased. Exemptions are per person for deaths in 2026. Full source links for every row: clearlegaltips.com/estate-tax-by-state/</w:t>
      </w:r>
    </w:p>
    <w:p>
      <w:pPr>
        <w:spacing w:before="160"/>
      </w:pPr>
      <w:r>
        <w:rPr>
          <w:b/>
          <w:color w:val="1C2B4A"/>
          <w:sz w:val="27"/>
        </w:rPr>
        <w:t>Estate tax: federal + 12 states + DC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1C2B4A"/>
          </w:tcPr>
          <w:p>
            <w:r>
              <w:rPr>
                <w:b/>
                <w:color w:val="FFFFFF"/>
                <w:sz w:val="20"/>
              </w:rPr>
              <w:t>Jurisdiction</w:t>
            </w:r>
          </w:p>
        </w:tc>
        <w:tc>
          <w:tcPr>
            <w:tcW w:type="dxa" w:w="2160"/>
            <w:shd w:val="clear" w:fill="1C2B4A"/>
          </w:tcPr>
          <w:p>
            <w:r>
              <w:rPr>
                <w:b/>
                <w:color w:val="FFFFFF"/>
                <w:sz w:val="20"/>
              </w:rPr>
              <w:t>2026 exemption</w:t>
            </w:r>
          </w:p>
        </w:tc>
        <w:tc>
          <w:tcPr>
            <w:tcW w:type="dxa" w:w="2160"/>
            <w:shd w:val="clear" w:fill="1C2B4A"/>
          </w:tcPr>
          <w:p>
            <w:r>
              <w:rPr>
                <w:b/>
                <w:color w:val="FFFFFF"/>
                <w:sz w:val="20"/>
              </w:rPr>
              <w:t>Top rate</w:t>
            </w:r>
          </w:p>
        </w:tc>
        <w:tc>
          <w:tcPr>
            <w:tcW w:type="dxa" w:w="2160"/>
            <w:shd w:val="clear" w:fill="1C2B4A"/>
          </w:tcPr>
          <w:p>
            <w:r>
              <w:rPr>
                <w:b/>
                <w:color w:val="FFFFFF"/>
                <w:sz w:val="20"/>
              </w:rPr>
              <w:t>Indexed?</w:t>
            </w:r>
          </w:p>
        </w:tc>
      </w:tr>
      <w:tr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Federal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$15,000,000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40%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Yes (from 2027)</w:t>
            </w:r>
          </w:p>
        </w:tc>
      </w:tr>
      <w:tr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Connecticut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$15,000,000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12% flat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Follows federal</w:t>
            </w:r>
          </w:p>
        </w:tc>
      </w:tr>
      <w:tr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District of Columbia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$4,988,400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16%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Yes (CPI)</w:t>
            </w:r>
          </w:p>
        </w:tc>
      </w:tr>
      <w:tr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Hawaii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$5,490,000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20%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No (frozen)</w:t>
            </w:r>
          </w:p>
        </w:tc>
      </w:tr>
      <w:tr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Illinois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$4,000,000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16%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No</w:t>
            </w:r>
          </w:p>
        </w:tc>
      </w:tr>
      <w:tr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Maine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$7,160,000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12%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Yes</w:t>
            </w:r>
          </w:p>
        </w:tc>
      </w:tr>
      <w:tr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Maryland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$5,000,000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16%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No</w:t>
            </w:r>
          </w:p>
        </w:tc>
      </w:tr>
      <w:tr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Massachusetts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$2,000,000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16%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No</w:t>
            </w:r>
          </w:p>
        </w:tc>
      </w:tr>
      <w:tr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Minnesota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$3,000,000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16%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No</w:t>
            </w:r>
          </w:p>
        </w:tc>
      </w:tr>
      <w:tr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New York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$7,350,000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16%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Yes</w:t>
            </w:r>
          </w:p>
        </w:tc>
      </w:tr>
      <w:tr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Oregon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$1,000,000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16%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No</w:t>
            </w:r>
          </w:p>
        </w:tc>
      </w:tr>
      <w:tr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Rhode Island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$1,838,056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16%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Yes (CPI)</w:t>
            </w:r>
          </w:p>
        </w:tc>
      </w:tr>
      <w:tr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Vermont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$5,000,000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16% flat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No</w:t>
            </w:r>
          </w:p>
        </w:tc>
      </w:tr>
      <w:tr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Washington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$3,000,000 (Jul 1+)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20% (Jul 1+)</w:t>
            </w:r>
          </w:p>
        </w:tc>
        <w:tc>
          <w:tcPr>
            <w:tcW w:type="dxa" w:w="2160"/>
          </w:tcPr>
          <w:p>
            <w:r>
              <w:rPr>
                <w:b w:val="0"/>
                <w:color w:val="222222"/>
                <w:sz w:val="20"/>
              </w:rPr>
              <w:t>No</w:t>
            </w:r>
          </w:p>
        </w:tc>
      </w:tr>
    </w:tbl>
    <w:p/>
    <w:p>
      <w:pPr>
        <w:spacing w:before="160"/>
      </w:pPr>
      <w:r>
        <w:rPr>
          <w:b/>
          <w:color w:val="1C2B4A"/>
          <w:sz w:val="27"/>
        </w:rPr>
        <w:t>Inheritance tax: 5 states (2026)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1C2B4A"/>
          </w:tcPr>
          <w:p>
            <w:r>
              <w:rPr>
                <w:b/>
                <w:color w:val="FFFFFF"/>
                <w:sz w:val="20"/>
              </w:rPr>
              <w:t>State</w:t>
            </w:r>
          </w:p>
        </w:tc>
        <w:tc>
          <w:tcPr>
            <w:tcW w:type="dxa" w:w="2880"/>
            <w:shd w:val="clear" w:fill="1C2B4A"/>
          </w:tcPr>
          <w:p>
            <w:r>
              <w:rPr>
                <w:b/>
                <w:color w:val="FFFFFF"/>
                <w:sz w:val="20"/>
              </w:rPr>
              <w:t>Who pays</w:t>
            </w:r>
          </w:p>
        </w:tc>
        <w:tc>
          <w:tcPr>
            <w:tcW w:type="dxa" w:w="2880"/>
            <w:shd w:val="clear" w:fill="1C2B4A"/>
          </w:tcPr>
          <w:p>
            <w:r>
              <w:rPr>
                <w:b/>
                <w:color w:val="FFFFFF"/>
                <w:sz w:val="20"/>
              </w:rPr>
              <w:t>Rates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Kentucky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Only non-relatives (Class C); Class A and B exempt for 2026 deaths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6-16% after $500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Maryland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Non-exempt heirs (not spouse, descendants, ancestors, siblings)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10%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Nebraska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Most non-spouse heirs, by county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1% / 11% / 15%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New Jersey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Non-Class A heirs (spouse, children, parents exempt)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11-16%</w:t>
            </w:r>
          </w:p>
        </w:tc>
      </w:tr>
      <w:tr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Pennsylvania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All but spouse: lineal 4.5%, siblings 12%, others 15%</w:t>
            </w:r>
          </w:p>
        </w:tc>
        <w:tc>
          <w:tcPr>
            <w:tcW w:type="dxa" w:w="2880"/>
          </w:tcPr>
          <w:p>
            <w:r>
              <w:rPr>
                <w:b w:val="0"/>
                <w:color w:val="222222"/>
                <w:sz w:val="20"/>
              </w:rPr>
              <w:t>4.5% / 12% / 15%</w:t>
            </w:r>
          </w:p>
        </w:tc>
      </w:tr>
    </w:tbl>
    <w:p/>
    <w:p>
      <w:pPr>
        <w:spacing w:before="160"/>
      </w:pPr>
      <w:r>
        <w:rPr>
          <w:b/>
          <w:color w:val="1C2B4A"/>
          <w:sz w:val="27"/>
        </w:rPr>
        <w:t>Watch-outs the tables cannot show</w:t>
      </w:r>
    </w:p>
    <w:p>
      <w:pPr>
        <w:ind w:left="360"/>
      </w:pPr>
      <w:r>
        <w:rPr>
          <w:b w:val="0"/>
          <w:color w:val="222222"/>
          <w:sz w:val="22"/>
        </w:rPr>
        <w:t>•  New York cliff: exceed about $7,717,500 (105% of the exemption) and the entire exemption disappears.</w:t>
      </w:r>
    </w:p>
    <w:p>
      <w:pPr>
        <w:ind w:left="360"/>
      </w:pPr>
      <w:r>
        <w:rPr>
          <w:b w:val="0"/>
          <w:color w:val="222222"/>
          <w:sz w:val="22"/>
        </w:rPr>
        <w:t>•  Massachusetts computes tax on the WHOLE estate, then applies a $99,600 credit; the bill grows faster than in excess-only states.</w:t>
      </w:r>
    </w:p>
    <w:p>
      <w:pPr>
        <w:ind w:left="360"/>
      </w:pPr>
      <w:r>
        <w:rPr>
          <w:b w:val="0"/>
          <w:color w:val="222222"/>
          <w:sz w:val="22"/>
        </w:rPr>
        <w:t>•  Washington split 2026: deaths Jan-Jun used a $3,076,000 exclusion and a 35% top rate; deaths from July 1 use $3,000,000 and 20%.</w:t>
      </w:r>
    </w:p>
    <w:p>
      <w:pPr>
        <w:ind w:left="360"/>
      </w:pPr>
      <w:r>
        <w:rPr>
          <w:b w:val="0"/>
          <w:color w:val="222222"/>
          <w:sz w:val="22"/>
        </w:rPr>
        <w:t>•  Frozen exemptions (OR, IL, MA, MN, VT, HI) are stealth tax increases: inflation pulls more ordinary estates over the line yearly.</w:t>
      </w:r>
    </w:p>
    <w:p>
      <w:pPr>
        <w:ind w:left="360"/>
      </w:pPr>
      <w:r>
        <w:rPr>
          <w:b w:val="0"/>
          <w:color w:val="222222"/>
          <w:sz w:val="22"/>
        </w:rPr>
        <w:t>•  Out-of-state property counts: a no-tax-state resident can owe estate tax on a vacation home in a taxing state.</w:t>
      </w:r>
    </w:p>
    <w:p>
      <w:pPr>
        <w:ind w:left="360"/>
      </w:pPr>
      <w:r>
        <w:rPr>
          <w:b w:val="0"/>
          <w:color w:val="222222"/>
          <w:sz w:val="22"/>
        </w:rPr>
        <w:t>•  Iowa's inheritance tax is fully repealed for deaths on or after January 1, 2025.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fill="F8F6F2"/>
          </w:tcPr>
          <w:p>
            <w:r>
              <w:rPr>
                <w:b/>
                <w:color w:val="1C2B4A"/>
                <w:sz w:val="22"/>
              </w:rPr>
              <w:t>INSTRUCTIONS FOR USE</w:t>
            </w:r>
          </w:p>
          <w:p>
            <w:r>
              <w:rPr>
                <w:b w:val="0"/>
                <w:color w:val="222222"/>
                <w:sz w:val="20"/>
              </w:rPr>
              <w:t>Every figure was verified against the state revenue department, statute, or the IRS in July 2026. States adjust indexed figures annually; confirm the current amount before acting. The maintained tables, CSV dataset, and interactive estate tax calculator live at clearlegaltips.com/estate-tax-by-state/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