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Employee vs Contractor Self-Assessment</w:t>
      </w:r>
    </w:p>
    <w:p>
      <w:r>
        <w:rPr>
          <w:b/>
          <w:color w:val="111111"/>
          <w:sz w:val="22"/>
        </w:rPr>
        <w:t>Self-Assessment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Misclassifying a worker is costly. This self-check uses common IRS/ABC-test factors. Tick what’s true about the working relationship.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Part 1 — Tick What Applies</w:t>
      </w:r>
    </w:p>
    <w:p>
      <w:pPr>
        <w:spacing w:after="80"/>
      </w:pPr>
      <w:r>
        <w:rPr>
          <w:b w:val="0"/>
          <w:color w:val="111111"/>
          <w:sz w:val="22"/>
        </w:rPr>
        <w:t>Tick each statement that applies to you:</w:t>
      </w:r>
    </w:p>
    <w:p>
      <w:pPr>
        <w:ind w:left="216"/>
      </w:pPr>
      <w:r>
        <w:rPr>
          <w:b w:val="0"/>
          <w:color w:val="111111"/>
          <w:sz w:val="22"/>
        </w:rPr>
        <w:t>☐  You control HOW the work is done (not just the result)</w:t>
      </w:r>
    </w:p>
    <w:p>
      <w:pPr>
        <w:ind w:left="216"/>
      </w:pPr>
      <w:r>
        <w:rPr>
          <w:b w:val="0"/>
          <w:color w:val="111111"/>
          <w:sz w:val="22"/>
        </w:rPr>
        <w:t>☐  You set their hours/schedule</w:t>
      </w:r>
    </w:p>
    <w:p>
      <w:pPr>
        <w:ind w:left="216"/>
      </w:pPr>
      <w:r>
        <w:rPr>
          <w:b w:val="0"/>
          <w:color w:val="111111"/>
          <w:sz w:val="22"/>
        </w:rPr>
        <w:t>☐  You provide the tools/equipment</w:t>
      </w:r>
    </w:p>
    <w:p>
      <w:pPr>
        <w:ind w:left="216"/>
      </w:pPr>
      <w:r>
        <w:rPr>
          <w:b w:val="0"/>
          <w:color w:val="111111"/>
          <w:sz w:val="22"/>
        </w:rPr>
        <w:t>☐  The work is part of your core business</w:t>
      </w:r>
    </w:p>
    <w:p>
      <w:pPr>
        <w:ind w:left="216"/>
      </w:pPr>
      <w:r>
        <w:rPr>
          <w:b w:val="0"/>
          <w:color w:val="111111"/>
          <w:sz w:val="22"/>
        </w:rPr>
        <w:t>☐  The relationship is ongoing/indefinite</w:t>
      </w:r>
    </w:p>
    <w:p>
      <w:pPr>
        <w:ind w:left="216"/>
      </w:pPr>
      <w:r>
        <w:rPr>
          <w:b w:val="0"/>
          <w:color w:val="111111"/>
          <w:sz w:val="22"/>
        </w:rPr>
        <w:t>☐  You pay a regular salary/wage (not per project)</w:t>
      </w:r>
    </w:p>
    <w:p>
      <w:pPr>
        <w:ind w:left="216"/>
      </w:pPr>
      <w:r>
        <w:rPr>
          <w:b w:val="0"/>
          <w:color w:val="111111"/>
          <w:sz w:val="22"/>
        </w:rPr>
        <w:t>☐  They work only for you</w:t>
      </w:r>
    </w:p>
    <w:p>
      <w:pPr>
        <w:ind w:left="216"/>
      </w:pPr>
      <w:r>
        <w:rPr>
          <w:b w:val="0"/>
          <w:color w:val="111111"/>
          <w:sz w:val="22"/>
        </w:rPr>
        <w:t>☐  You provide training</w:t>
      </w:r>
    </w:p>
    <w:p>
      <w:pPr>
        <w:spacing w:before="220"/>
      </w:pPr>
      <w:r>
        <w:rPr>
          <w:b/>
          <w:color w:val="1C2B4A"/>
          <w:sz w:val="27"/>
        </w:rPr>
        <w:t>What Your Answers Mean</w:t>
      </w:r>
    </w:p>
    <w:p>
      <w:pPr>
        <w:spacing w:after="80"/>
      </w:pPr>
      <w:r>
        <w:rPr>
          <w:b w:val="0"/>
          <w:color w:val="111111"/>
          <w:sz w:val="22"/>
        </w:rPr>
        <w:t>Mostly ticked: The worker looks like an EMPLOYEE — classify and withhold accordingly.</w:t>
      </w:r>
    </w:p>
    <w:p>
      <w:pPr>
        <w:spacing w:after="80"/>
      </w:pPr>
      <w:r>
        <w:rPr>
          <w:b w:val="0"/>
          <w:color w:val="111111"/>
          <w:sz w:val="22"/>
        </w:rPr>
        <w:t>Few ticked: The worker looks like an independent CONTRACTOR — use a contractor agreement + W-9/1099.</w:t>
      </w:r>
    </w:p>
    <w:p>
      <w:pPr>
        <w:spacing w:after="80"/>
      </w:pPr>
      <w:r>
        <w:rPr>
          <w:b w:val="0"/>
          <w:color w:val="111111"/>
          <w:sz w:val="22"/>
        </w:rPr>
        <w:t>Mixed: High risk — check your state’s ABC test (esp. California AB5) and consult a pro.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