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Living Trust Prep Worksheet</w:t>
      </w:r>
    </w:p>
    <w:p>
      <w:r>
        <w:rPr>
          <w:b/>
          <w:color w:val="111111"/>
          <w:sz w:val="22"/>
        </w:rPr>
        <w:t>Fillable Prep Worksheet — ClearLegalTips.com (2026)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Gather this information before you start the online process so you can finish in one sitting. Fill the blanks; tick boxes as you complete each item.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Trust Roles</w:t>
      </w:r>
    </w:p>
    <w:p>
      <w:r>
        <w:rPr>
          <w:b/>
          <w:color w:val="111111"/>
          <w:sz w:val="22"/>
        </w:rPr>
        <w:t xml:space="preserve">Grantor (you):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Initial trustee: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Successor trustee: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Beneficiaries: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Assets to Fund</w:t>
      </w:r>
    </w:p>
    <w:p>
      <w:pPr>
        <w:ind w:left="216"/>
      </w:pPr>
      <w:r>
        <w:rPr>
          <w:b w:val="0"/>
          <w:color w:val="111111"/>
          <w:sz w:val="22"/>
        </w:rPr>
        <w:t>☐  Real estate</w:t>
      </w:r>
    </w:p>
    <w:p>
      <w:pPr>
        <w:ind w:left="216"/>
      </w:pPr>
      <w:r>
        <w:rPr>
          <w:b w:val="0"/>
          <w:color w:val="111111"/>
          <w:sz w:val="22"/>
        </w:rPr>
        <w:t>☐  Bank / investment accounts</w:t>
      </w:r>
    </w:p>
    <w:p>
      <w:pPr>
        <w:ind w:left="216"/>
      </w:pPr>
      <w:r>
        <w:rPr>
          <w:b w:val="0"/>
          <w:color w:val="111111"/>
          <w:sz w:val="22"/>
        </w:rPr>
        <w:t>☐  Vehicles / valuables</w:t>
      </w:r>
    </w:p>
    <w:p>
      <w:pPr>
        <w:spacing w:before="220"/>
      </w:pPr>
      <w:r>
        <w:rPr>
          <w:b/>
          <w:color w:val="1C2B4A"/>
          <w:sz w:val="27"/>
        </w:rPr>
        <w:t>Distribution</w:t>
      </w:r>
    </w:p>
    <w:p>
      <w:r>
        <w:rPr>
          <w:b/>
          <w:color w:val="111111"/>
          <w:sz w:val="22"/>
        </w:rPr>
        <w:t xml:space="preserve">Who gets what (shares):  </w:t>
      </w:r>
      <w:r>
        <w:rPr>
          <w:b w:val="0"/>
          <w:color w:val="111111"/>
          <w:sz w:val="22"/>
        </w:rPr>
        <w:t>________________________________________</w:t>
      </w:r>
    </w:p>
    <w:p>
      <w:r>
        <w:rPr>
          <w:b/>
          <w:color w:val="111111"/>
          <w:sz w:val="22"/>
        </w:rPr>
        <w:t xml:space="preserve">Any age/condition restrictions:  </w:t>
      </w:r>
      <w:r>
        <w:rPr>
          <w:b w:val="0"/>
          <w:color w:val="111111"/>
          <w:sz w:val="22"/>
        </w:rPr>
        <w:t>________________________________________</w:t>
      </w:r>
    </w:p>
    <w:p>
      <w:pPr>
        <w:spacing w:before="220"/>
      </w:pPr>
      <w:r>
        <w:rPr>
          <w:b/>
          <w:color w:val="1C2B4A"/>
          <w:sz w:val="27"/>
        </w:rPr>
        <w:t>Notes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color w:val="111111"/>
          <w:sz w:val="22"/>
        </w:rPr>
        <w:t>______________________________________________________________________</w:t>
      </w:r>
    </w:p>
    <w:p/>
    <w:p>
      <w:pPr>
        <w:spacing w:after="80"/>
      </w:pPr>
      <w:r>
        <w:rPr>
          <w:b w:val="0"/>
          <w:color w:val="111111"/>
          <w:sz w:val="22"/>
        </w:rPr>
        <w:t>This resource is provided by ClearLegalTips.com for general informational purposes only and does not constitute legal advice. Laws vary by state and change over time. Consult a licensed attorney for advice specific to your situation.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