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California LLC Cost Worksheet (2026)</w:t>
      </w:r>
    </w:p>
    <w:p>
      <w:pPr>
        <w:spacing w:after="200"/>
        <w:pBdr>
          <w:bottom w:val="single" w:sz="12" w:space="2" w:color="C9A23A"/>
        </w:pBdr>
      </w:pPr>
      <w:r>
        <w:rPr>
          <w:b/>
          <w:color w:val="1C2B4A"/>
          <w:sz w:val="26"/>
        </w:rPr>
        <w:t>Every state fee a California LLC pays, verified against the statutes and the Secretary of State fee list in July 2026, with space to total your own first-year costs</w:t>
      </w:r>
    </w:p>
    <w:p>
      <w:r>
        <w:rPr>
          <w:b/>
          <w:color w:val="1C2B4A"/>
          <w:sz w:val="27"/>
        </w:rPr>
        <w:t>California LLC Cost Worksheet</w:t>
      </w:r>
    </w:p>
    <w:p>
      <w:pPr>
        <w:spacing w:after="80"/>
      </w:pPr>
      <w:r>
        <w:rPr>
          <w:b w:val="0"/>
          <w:color w:val="111111"/>
          <w:sz w:val="22"/>
        </w:rPr>
        <w:t>The state's numbers are fixed; yours are not. Part 1 is the verified 2026 fee schedule. Part 2 is where you add the line items that vary and total your real first-year cost. Part 3 is the recurring calendar. The maintained 50-state comparison lives at clearlegaltips.com/llc-filing-fees-by-state/</w:t>
      </w:r>
    </w:p>
    <w:p>
      <w:pPr>
        <w:spacing w:before="220"/>
      </w:pPr>
      <w:r>
        <w:rPr>
          <w:b/>
          <w:color w:val="1C2B4A"/>
          <w:sz w:val="27"/>
        </w:rPr>
        <w:t>Part 1: The 2026 California fee schedule (verified)</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Item</w:t>
            </w:r>
          </w:p>
        </w:tc>
        <w:tc>
          <w:tcPr>
            <w:tcW w:type="dxa" w:w="2880"/>
            <w:shd w:val="clear" w:fill="1C2B4A"/>
          </w:tcPr>
          <w:p>
            <w:r>
              <w:rPr>
                <w:b/>
                <w:color w:val="FFFFFF"/>
                <w:sz w:val="20"/>
              </w:rPr>
              <w:t>Amount</w:t>
            </w:r>
          </w:p>
        </w:tc>
        <w:tc>
          <w:tcPr>
            <w:tcW w:type="dxa" w:w="2880"/>
            <w:shd w:val="clear" w:fill="1C2B4A"/>
          </w:tcPr>
          <w:p>
            <w:r>
              <w:rPr>
                <w:b/>
                <w:color w:val="FFFFFF"/>
                <w:sz w:val="20"/>
              </w:rPr>
              <w:t>When</w:t>
            </w:r>
          </w:p>
        </w:tc>
      </w:tr>
      <w:tr>
        <w:tc>
          <w:tcPr>
            <w:tcW w:type="dxa" w:w="2880"/>
          </w:tcPr>
          <w:p>
            <w:r>
              <w:rPr>
                <w:b w:val="0"/>
                <w:color w:val="111111"/>
                <w:sz w:val="20"/>
              </w:rPr>
              <w:t>Articles of Organization (Form LLC-1)</w:t>
            </w:r>
          </w:p>
        </w:tc>
        <w:tc>
          <w:tcPr>
            <w:tcW w:type="dxa" w:w="2880"/>
          </w:tcPr>
          <w:p>
            <w:r>
              <w:rPr>
                <w:b w:val="0"/>
                <w:color w:val="111111"/>
                <w:sz w:val="20"/>
              </w:rPr>
              <w:t>$70</w:t>
            </w:r>
          </w:p>
        </w:tc>
        <w:tc>
          <w:tcPr>
            <w:tcW w:type="dxa" w:w="2880"/>
          </w:tcPr>
          <w:p>
            <w:r>
              <w:rPr>
                <w:b w:val="0"/>
                <w:color w:val="111111"/>
                <w:sz w:val="20"/>
              </w:rPr>
              <w:t>Once, at formation</w:t>
            </w:r>
          </w:p>
        </w:tc>
      </w:tr>
      <w:tr>
        <w:tc>
          <w:tcPr>
            <w:tcW w:type="dxa" w:w="2880"/>
          </w:tcPr>
          <w:p>
            <w:r>
              <w:rPr>
                <w:b w:val="0"/>
                <w:color w:val="111111"/>
                <w:sz w:val="20"/>
              </w:rPr>
              <w:t>Initial Statement of Information</w:t>
            </w:r>
          </w:p>
        </w:tc>
        <w:tc>
          <w:tcPr>
            <w:tcW w:type="dxa" w:w="2880"/>
          </w:tcPr>
          <w:p>
            <w:r>
              <w:rPr>
                <w:b w:val="0"/>
                <w:color w:val="111111"/>
                <w:sz w:val="20"/>
              </w:rPr>
              <w:t>$20</w:t>
            </w:r>
          </w:p>
        </w:tc>
        <w:tc>
          <w:tcPr>
            <w:tcW w:type="dxa" w:w="2880"/>
          </w:tcPr>
          <w:p>
            <w:r>
              <w:rPr>
                <w:b w:val="0"/>
                <w:color w:val="111111"/>
                <w:sz w:val="20"/>
              </w:rPr>
              <w:t>Within 90 days of filing</w:t>
            </w:r>
          </w:p>
        </w:tc>
      </w:tr>
      <w:tr>
        <w:tc>
          <w:tcPr>
            <w:tcW w:type="dxa" w:w="2880"/>
          </w:tcPr>
          <w:p>
            <w:r>
              <w:rPr>
                <w:b w:val="0"/>
                <w:color w:val="111111"/>
                <w:sz w:val="20"/>
              </w:rPr>
              <w:t>Biennial Statement of Information</w:t>
            </w:r>
          </w:p>
        </w:tc>
        <w:tc>
          <w:tcPr>
            <w:tcW w:type="dxa" w:w="2880"/>
          </w:tcPr>
          <w:p>
            <w:r>
              <w:rPr>
                <w:b w:val="0"/>
                <w:color w:val="111111"/>
                <w:sz w:val="20"/>
              </w:rPr>
              <w:t>$20</w:t>
            </w:r>
          </w:p>
        </w:tc>
        <w:tc>
          <w:tcPr>
            <w:tcW w:type="dxa" w:w="2880"/>
          </w:tcPr>
          <w:p>
            <w:r>
              <w:rPr>
                <w:b w:val="0"/>
                <w:color w:val="111111"/>
                <w:sz w:val="20"/>
              </w:rPr>
              <w:t>Every 2 years, in a 6-month window</w:t>
            </w:r>
          </w:p>
        </w:tc>
      </w:tr>
      <w:tr>
        <w:tc>
          <w:tcPr>
            <w:tcW w:type="dxa" w:w="2880"/>
          </w:tcPr>
          <w:p>
            <w:r>
              <w:rPr>
                <w:b w:val="0"/>
                <w:color w:val="111111"/>
                <w:sz w:val="20"/>
              </w:rPr>
              <w:t>Annual franchise tax</w:t>
            </w:r>
          </w:p>
        </w:tc>
        <w:tc>
          <w:tcPr>
            <w:tcW w:type="dxa" w:w="2880"/>
          </w:tcPr>
          <w:p>
            <w:r>
              <w:rPr>
                <w:b w:val="0"/>
                <w:color w:val="111111"/>
                <w:sz w:val="20"/>
              </w:rPr>
              <w:t>$800</w:t>
            </w:r>
          </w:p>
        </w:tc>
        <w:tc>
          <w:tcPr>
            <w:tcW w:type="dxa" w:w="2880"/>
          </w:tcPr>
          <w:p>
            <w:r>
              <w:rPr>
                <w:b w:val="0"/>
                <w:color w:val="111111"/>
                <w:sz w:val="20"/>
              </w:rPr>
              <w:t>15th day of the 4th month, every year</w:t>
            </w:r>
          </w:p>
        </w:tc>
      </w:tr>
      <w:tr>
        <w:tc>
          <w:tcPr>
            <w:tcW w:type="dxa" w:w="2880"/>
          </w:tcPr>
          <w:p>
            <w:r>
              <w:rPr>
                <w:b w:val="0"/>
                <w:color w:val="111111"/>
                <w:sz w:val="20"/>
              </w:rPr>
              <w:t>First-year tax if the first taxable year starts 2027-2029</w:t>
            </w:r>
          </w:p>
        </w:tc>
        <w:tc>
          <w:tcPr>
            <w:tcW w:type="dxa" w:w="2880"/>
          </w:tcPr>
          <w:p>
            <w:r>
              <w:rPr>
                <w:b w:val="0"/>
                <w:color w:val="111111"/>
                <w:sz w:val="20"/>
              </w:rPr>
              <w:t>$400</w:t>
            </w:r>
          </w:p>
        </w:tc>
        <w:tc>
          <w:tcPr>
            <w:tcW w:type="dxa" w:w="2880"/>
          </w:tcPr>
          <w:p>
            <w:r>
              <w:rPr>
                <w:b w:val="0"/>
                <w:color w:val="111111"/>
                <w:sz w:val="20"/>
              </w:rPr>
              <w:t>First taxable year only (SB 122)</w:t>
            </w:r>
          </w:p>
        </w:tc>
      </w:tr>
      <w:tr>
        <w:tc>
          <w:tcPr>
            <w:tcW w:type="dxa" w:w="2880"/>
          </w:tcPr>
          <w:p>
            <w:r>
              <w:rPr>
                <w:b w:val="0"/>
                <w:color w:val="111111"/>
                <w:sz w:val="20"/>
              </w:rPr>
              <w:t>LLC fee, California total income $250,000+</w:t>
            </w:r>
          </w:p>
        </w:tc>
        <w:tc>
          <w:tcPr>
            <w:tcW w:type="dxa" w:w="2880"/>
          </w:tcPr>
          <w:p>
            <w:r>
              <w:rPr>
                <w:b w:val="0"/>
                <w:color w:val="111111"/>
                <w:sz w:val="20"/>
              </w:rPr>
              <w:t>$900 / $2,500 / $6,000 / $11,790</w:t>
            </w:r>
          </w:p>
        </w:tc>
        <w:tc>
          <w:tcPr>
            <w:tcW w:type="dxa" w:w="2880"/>
          </w:tcPr>
          <w:p>
            <w:r>
              <w:rPr>
                <w:b w:val="0"/>
                <w:color w:val="111111"/>
                <w:sz w:val="20"/>
              </w:rPr>
              <w:t>Estimate due June 15</w:t>
            </w:r>
          </w:p>
        </w:tc>
      </w:tr>
      <w:tr>
        <w:tc>
          <w:tcPr>
            <w:tcW w:type="dxa" w:w="2880"/>
          </w:tcPr>
          <w:p>
            <w:r>
              <w:rPr>
                <w:b w:val="0"/>
                <w:color w:val="111111"/>
                <w:sz w:val="20"/>
              </w:rPr>
              <w:t>Statement of Information late penalty</w:t>
            </w:r>
          </w:p>
        </w:tc>
        <w:tc>
          <w:tcPr>
            <w:tcW w:type="dxa" w:w="2880"/>
          </w:tcPr>
          <w:p>
            <w:r>
              <w:rPr>
                <w:b w:val="0"/>
                <w:color w:val="111111"/>
                <w:sz w:val="20"/>
              </w:rPr>
              <w:t>$250</w:t>
            </w:r>
          </w:p>
        </w:tc>
        <w:tc>
          <w:tcPr>
            <w:tcW w:type="dxa" w:w="2880"/>
          </w:tcPr>
          <w:p>
            <w:r>
              <w:rPr>
                <w:b w:val="0"/>
                <w:color w:val="111111"/>
                <w:sz w:val="20"/>
              </w:rPr>
              <w:t>Only if the filing is missed</w:t>
            </w:r>
          </w:p>
        </w:tc>
      </w:tr>
    </w:tbl>
    <w:p/>
    <w:p>
      <w:pPr>
        <w:spacing w:before="220"/>
      </w:pPr>
      <w:r>
        <w:rPr>
          <w:b/>
          <w:color w:val="1C2B4A"/>
          <w:sz w:val="27"/>
        </w:rPr>
        <w:t>Part 2: Your own line items</w:t>
      </w:r>
    </w:p>
    <w:p>
      <w:r>
        <w:rPr>
          <w:b/>
          <w:color w:val="111111"/>
          <w:sz w:val="22"/>
        </w:rPr>
        <w:t xml:space="preserve">Registered-agent service, if you hire one ($/yr):  </w:t>
      </w:r>
      <w:r>
        <w:rPr>
          <w:b w:val="0"/>
          <w:color w:val="111111"/>
          <w:sz w:val="22"/>
        </w:rPr>
        <w:t>________________________________________</w:t>
      </w:r>
    </w:p>
    <w:p>
      <w:r>
        <w:rPr>
          <w:b/>
          <w:color w:val="111111"/>
          <w:sz w:val="22"/>
        </w:rPr>
        <w:t xml:space="preserve">Expedited filing, if any: 24-hour $350 / same-day $750 / 4-hour $500 plus $500 preclearance:  </w:t>
      </w:r>
      <w:r>
        <w:rPr>
          <w:b w:val="0"/>
          <w:color w:val="111111"/>
          <w:sz w:val="22"/>
        </w:rPr>
        <w:t>________________________________________</w:t>
      </w:r>
    </w:p>
    <w:p>
      <w:r>
        <w:rPr>
          <w:b/>
          <w:color w:val="111111"/>
          <w:sz w:val="22"/>
        </w:rPr>
        <w:t xml:space="preserve">Certified copies or other SOS extras ($):  </w:t>
      </w:r>
      <w:r>
        <w:rPr>
          <w:b w:val="0"/>
          <w:color w:val="111111"/>
          <w:sz w:val="22"/>
        </w:rPr>
        <w:t>________________________________________</w:t>
      </w:r>
    </w:p>
    <w:p>
      <w:r>
        <w:rPr>
          <w:b/>
          <w:color w:val="111111"/>
          <w:sz w:val="22"/>
        </w:rPr>
        <w:t xml:space="preserve">City or county business licenses and permits ($):  </w:t>
      </w:r>
      <w:r>
        <w:rPr>
          <w:b w:val="0"/>
          <w:color w:val="111111"/>
          <w:sz w:val="22"/>
        </w:rPr>
        <w:t>________________________________________</w:t>
      </w:r>
    </w:p>
    <w:p>
      <w:r>
        <w:rPr>
          <w:b/>
          <w:color w:val="111111"/>
          <w:sz w:val="22"/>
        </w:rPr>
        <w:t xml:space="preserve">DBA / fictitious business name, if used (county fee) ($):  </w:t>
      </w:r>
      <w:r>
        <w:rPr>
          <w:b w:val="0"/>
          <w:color w:val="111111"/>
          <w:sz w:val="22"/>
        </w:rPr>
        <w:t>________________________________________</w:t>
      </w:r>
    </w:p>
    <w:p>
      <w:r>
        <w:rPr>
          <w:b/>
          <w:color w:val="111111"/>
          <w:sz w:val="22"/>
        </w:rPr>
        <w:t xml:space="preserve">Other startup costs ($):  </w:t>
      </w:r>
      <w:r>
        <w:rPr>
          <w:b w:val="0"/>
          <w:color w:val="111111"/>
          <w:sz w:val="22"/>
        </w:rPr>
        <w:t>________________________________________</w:t>
      </w:r>
    </w:p>
    <w:p>
      <w:r>
        <w:rPr>
          <w:b/>
          <w:color w:val="111111"/>
          <w:sz w:val="22"/>
        </w:rPr>
        <w:t xml:space="preserve">YEAR-ONE TOTAL: $890 state minimum + the line items above = $:  </w:t>
      </w:r>
      <w:r>
        <w:rPr>
          <w:b w:val="0"/>
          <w:color w:val="111111"/>
          <w:sz w:val="22"/>
        </w:rPr>
        <w:t>________________________________________</w:t>
      </w:r>
    </w:p>
    <w:p/>
    <w:p>
      <w:pPr>
        <w:spacing w:before="220"/>
      </w:pPr>
      <w:r>
        <w:rPr>
          <w:b/>
          <w:color w:val="1C2B4A"/>
          <w:sz w:val="27"/>
        </w:rPr>
        <w:t>Part 3: Recurring calendar</w:t>
      </w:r>
    </w:p>
    <w:p>
      <w:pPr>
        <w:ind w:left="360"/>
      </w:pPr>
      <w:r>
        <w:rPr>
          <w:b w:val="0"/>
          <w:color w:val="111111"/>
          <w:sz w:val="22"/>
        </w:rPr>
        <w:t>•  Every year: $800 annual franchise tax by the 15th day of the 4th month of the taxable year (April 15 for calendar-year LLCs).</w:t>
      </w:r>
    </w:p>
    <w:p>
      <w:pPr>
        <w:ind w:left="360"/>
      </w:pPr>
      <w:r>
        <w:rPr>
          <w:b w:val="0"/>
          <w:color w:val="111111"/>
          <w:sz w:val="22"/>
        </w:rPr>
        <w:t>•  Every year with California total income of $250,000 or more: estimated LLC fee by June 15; the final amount settles with the LLC return.</w:t>
      </w:r>
    </w:p>
    <w:p>
      <w:pPr>
        <w:ind w:left="360"/>
      </w:pPr>
      <w:r>
        <w:rPr>
          <w:b w:val="0"/>
          <w:color w:val="111111"/>
          <w:sz w:val="22"/>
        </w:rPr>
        <w:t>•  Every 2 years: $20 Statement of Information, due inside the 6-month window that ends with your formation anniversary month.</w:t>
      </w:r>
    </w:p>
    <w:p>
      <w:r>
        <w:rPr>
          <w:b/>
          <w:color w:val="111111"/>
          <w:sz w:val="22"/>
        </w:rPr>
        <w:t xml:space="preserve">My formation month (anchors the Statement of Information window):  </w:t>
      </w:r>
      <w:r>
        <w:rPr>
          <w:b w:val="0"/>
          <w:color w:val="111111"/>
          <w:sz w:val="22"/>
        </w:rPr>
        <w:t>________________________________________</w:t>
      </w:r>
    </w:p>
    <w:p>
      <w:r>
        <w:rPr>
          <w:b/>
          <w:color w:val="111111"/>
          <w:sz w:val="22"/>
        </w:rPr>
        <w:t xml:space="preserve">My Statement of Information window (formation month plus the 5 months before it):  </w:t>
      </w:r>
      <w:r>
        <w:rPr>
          <w:b w:val="0"/>
          <w:color w:val="111111"/>
          <w:sz w:val="22"/>
        </w:rPr>
        <w:t>________________________________________</w:t>
      </w:r>
    </w:p>
    <w:p>
      <w:r>
        <w:rPr>
          <w:b/>
          <w:color w:val="111111"/>
          <w:sz w:val="22"/>
        </w:rPr>
        <w:t xml:space="preserve">Reminders set for (dates):  </w:t>
      </w:r>
      <w:r>
        <w:rPr>
          <w:b w:val="0"/>
          <w:color w:val="111111"/>
          <w:sz w:val="22"/>
        </w:rPr>
        <w:t>________________________________________</w:t>
      </w:r>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Every state figure above was verified in July 2026 against the California Revenue and Taxation Code (Sections 17941, 17942, 23153, and 19141), Corporations Code Section 17702.09, and the Secretary of State's published fee and service lists. Amounts and rules change; confirm on sos.ca.gov and ftb.ca.gov before you pay. This worksheet is general information, not legal or tax advice. For advice on your situation, consult a licensed attorney or CPA. The maintained comparison table lives at clearlegaltips.com/llc-filing-fees-by-state/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